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Legend Biotech Corporation</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52490G102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244"/>
        <w:spacing w:after="0"/>
        <w:tabs>
          <w:tab w:leader="none" w:pos="6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w:t>
        <w:tab/>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03415" cy="54006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Fangliang Zhang</w:t>
            </w:r>
          </w:p>
        </w:tc>
        <w:tc>
          <w:tcPr>
            <w:tcW w:w="0" w:type="dxa"/>
            <w:vAlign w:val="bottom"/>
          </w:tcPr>
          <w:p>
            <w:pPr>
              <w:spacing w:after="0"/>
              <w:rPr>
                <w:sz w:val="1"/>
                <w:szCs w:val="1"/>
                <w:color w:val="auto"/>
              </w:rPr>
            </w:pPr>
          </w:p>
        </w:tc>
      </w:tr>
      <w:tr>
        <w:trPr>
          <w:trHeight w:val="163"/>
        </w:trPr>
        <w:tc>
          <w:tcPr>
            <w:tcW w:w="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4"/>
                <w:szCs w:val="14"/>
                <w:color w:val="auto"/>
              </w:rPr>
            </w:pPr>
          </w:p>
        </w:tc>
        <w:tc>
          <w:tcPr>
            <w:tcW w:w="10580" w:type="dxa"/>
            <w:vAlign w:val="bottom"/>
            <w:gridSpan w:val="5"/>
          </w:tcPr>
          <w:p>
            <w:pPr>
              <w:ind w:left="18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22"/>
                <w:szCs w:val="22"/>
                <w:color w:val="auto"/>
              </w:rPr>
              <w:t>The People’s Republic of China</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tcPr>
          <w:p>
            <w:pPr>
              <w:spacing w:after="0"/>
              <w:rPr>
                <w:sz w:val="19"/>
                <w:szCs w:val="19"/>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380" w:type="dxa"/>
            <w:vAlign w:val="bottom"/>
            <w:gridSpan w:val="3"/>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1,954,604</w:t>
            </w:r>
          </w:p>
        </w:tc>
        <w:tc>
          <w:tcPr>
            <w:tcW w:w="0" w:type="dxa"/>
            <w:vAlign w:val="bottom"/>
          </w:tcPr>
          <w:p>
            <w:pPr>
              <w:spacing w:after="0"/>
              <w:rPr>
                <w:sz w:val="1"/>
                <w:szCs w:val="1"/>
                <w:color w:val="auto"/>
              </w:rPr>
            </w:pPr>
          </w:p>
        </w:tc>
      </w:tr>
      <w:tr>
        <w:trPr>
          <w:trHeight w:val="43"/>
        </w:trPr>
        <w:tc>
          <w:tcPr>
            <w:tcW w:w="1380" w:type="dxa"/>
            <w:vAlign w:val="bottom"/>
            <w:gridSpan w:val="3"/>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right w:val="single" w:sz="8" w:color="auto"/>
            </w:tcBorders>
          </w:tcPr>
          <w:p>
            <w:pPr>
              <w:spacing w:after="0"/>
              <w:rPr>
                <w:sz w:val="3"/>
                <w:szCs w:val="3"/>
                <w:color w:val="auto"/>
              </w:rPr>
            </w:pPr>
          </w:p>
        </w:tc>
        <w:tc>
          <w:tcPr>
            <w:tcW w:w="91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center"/>
              <w:ind w:right="64"/>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1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30,320,000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tcPr>
          <w:p>
            <w:pPr>
              <w:spacing w:after="0"/>
              <w:rPr>
                <w:sz w:val="15"/>
                <w:szCs w:val="15"/>
                <w:color w:val="auto"/>
              </w:rPr>
            </w:pPr>
          </w:p>
        </w:tc>
        <w:tc>
          <w:tcPr>
            <w:tcW w:w="91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9160" w:type="dxa"/>
            <w:vAlign w:val="bottom"/>
          </w:tcPr>
          <w:p>
            <w:pPr>
              <w:ind w:left="200"/>
              <w:spacing w:after="0" w:line="248" w:lineRule="exact"/>
              <w:rPr>
                <w:sz w:val="20"/>
                <w:szCs w:val="20"/>
                <w:color w:val="auto"/>
              </w:rPr>
            </w:pPr>
            <w:r>
              <w:rPr>
                <w:rFonts w:ascii="Times New Roman" w:cs="Times New Roman" w:eastAsia="Times New Roman" w:hAnsi="Times New Roman"/>
                <w:sz w:val="22"/>
                <w:szCs w:val="22"/>
                <w:color w:val="auto"/>
              </w:rPr>
              <w:t>1,954,604</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tcPr>
          <w:p>
            <w:pPr>
              <w:spacing w:after="0"/>
              <w:rPr>
                <w:sz w:val="12"/>
                <w:szCs w:val="12"/>
                <w:color w:val="auto"/>
              </w:rPr>
            </w:pPr>
          </w:p>
        </w:tc>
        <w:tc>
          <w:tcPr>
            <w:tcW w:w="91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30,320,000</w:t>
            </w:r>
          </w:p>
        </w:tc>
        <w:tc>
          <w:tcPr>
            <w:tcW w:w="0" w:type="dxa"/>
            <w:vAlign w:val="bottom"/>
          </w:tcPr>
          <w:p>
            <w:pPr>
              <w:spacing w:after="0"/>
              <w:rPr>
                <w:sz w:val="1"/>
                <w:szCs w:val="1"/>
                <w:color w:val="auto"/>
              </w:rPr>
            </w:pPr>
          </w:p>
        </w:tc>
      </w:tr>
      <w:tr>
        <w:trPr>
          <w:trHeight w:val="229"/>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40" w:type="dxa"/>
            <w:vAlign w:val="bottom"/>
            <w:gridSpan w:val="2"/>
          </w:tcPr>
          <w:p>
            <w:pPr>
              <w:spacing w:after="0"/>
              <w:rPr>
                <w:sz w:val="19"/>
                <w:szCs w:val="19"/>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32,274,604 (3)</w:t>
            </w:r>
          </w:p>
        </w:tc>
        <w:tc>
          <w:tcPr>
            <w:tcW w:w="0" w:type="dxa"/>
            <w:vAlign w:val="bottom"/>
          </w:tcPr>
          <w:p>
            <w:pPr>
              <w:spacing w:after="0"/>
              <w:rPr>
                <w:sz w:val="1"/>
                <w:szCs w:val="1"/>
                <w:color w:val="auto"/>
              </w:rPr>
            </w:pPr>
          </w:p>
        </w:tc>
      </w:tr>
      <w:tr>
        <w:trPr>
          <w:trHeight w:val="229"/>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0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2"/>
                <w:szCs w:val="22"/>
                <w:color w:val="auto"/>
                <w:w w:val="95"/>
              </w:rPr>
              <w:t>12.2% (4)</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19"/>
                <w:szCs w:val="19"/>
                <w:color w:val="auto"/>
              </w:rPr>
            </w:pPr>
          </w:p>
        </w:tc>
        <w:tc>
          <w:tcPr>
            <w:tcW w:w="105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IN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40" w:hanging="424"/>
        <w:spacing w:after="0" w:line="25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30,320,000 ordinary shares held by AquaPoint L.P. (“AquaPoint”), and (ii) 1,954,604 ordinary shares over which Dr. Zhang has voting power pursuant to an irrevocable proxy, which became effective upon the exercise of the stock options pursuant to which such ordinary shares were issued. GenScript Corporation is the general partner of AquaPoint, and Dr. Zhang exercises control over GenScript Corporation pursuant to an irrevocable proxy with respect to voting securities of GenScript Corporation. Accordingly, Dr. Zhang may be deemed to indirectly beneficially own the ordinary shares held by AquaPoint.</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264,328,260 ordinary shares issued and outstanding as of September 30, 2020.</w:t>
      </w:r>
    </w:p>
    <w:p>
      <w:pPr>
        <w:sectPr>
          <w:pgSz w:w="11900" w:h="16838" w:orient="portrait"/>
          <w:cols w:equalWidth="0" w:num="1">
            <w:col w:w="11024"/>
          </w:cols>
          <w:pgMar w:left="436" w:top="28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1(a). Name of Issuer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Legend Biotech Corporation (the “Issuer”)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Item1(b). Address of Issuer’s Principal Executive Officers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2101 Cottontail Lane, Somerset, New Jersey 08873</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Item2(a). Name of Person Filing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Statement is filed on behalf of Fangliang Zhang (the “Reporting Person”).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Item2(b). Address or Principal Business Office or, if None, Residence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principal business office for Fangliang Zhang is No. 28, Yongxi Road, Jiangning Science Park, Nanjing, Jiangsu Province, People’s Republic of China.</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Item2(c). Citizenship</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of the cover page.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2(d).Title of Class of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par value US$0.0001 per share.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No.</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52490G102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 240.13d-1(b) or 240.13d-2(b) or (c)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beneficially owned: See Item 9 of the cover page.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of class: See Item 11 of the cover page.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as to which the Reporting Person has:</w:t>
      </w:r>
    </w:p>
    <w:p>
      <w:pPr>
        <w:spacing w:after="0" w:line="131"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5 of the cover page.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Item 6 of the cover page.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7 of the cover page.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8 of the cover page.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20"/>
          </w:cols>
          <w:pgMar w:left="440" w:top="266"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 Identification and Classification of Members of the Group.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19"/>
          </w:cols>
          <w:pgMar w:left="440" w:top="266" w:right="1440"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 February 16, 2021</w:t>
      </w:r>
      <w:r>
        <w:rPr>
          <w:sz w:val="20"/>
          <w:szCs w:val="20"/>
          <w:color w:val="auto"/>
        </w:rPr>
        <w:tab/>
      </w:r>
      <w:r>
        <w:rPr>
          <w:rFonts w:ascii="Times New Roman" w:cs="Times New Roman" w:eastAsia="Times New Roman" w:hAnsi="Times New Roman"/>
          <w:sz w:val="18"/>
          <w:szCs w:val="18"/>
          <w:b w:val="1"/>
          <w:bCs w:val="1"/>
          <w:color w:val="auto"/>
        </w:rPr>
        <w:t>Fangliang Zhang</w:t>
      </w:r>
    </w:p>
    <w:p>
      <w:pPr>
        <w:spacing w:after="0" w:line="2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Fangliang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2021-02-16T06:34:20Z</dcterms:created>
  <dcterms:modified xsi:type="dcterms:W3CDTF">2021-02-16T06:34:20Z</dcterms:modified>
</cp:coreProperties>
</file>