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32026_090857.xml.htm"/>
      <w:bookmarkStart w:id="1" w:name="ksform308032026_09085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BASH ALAN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2101 COTTONTAIL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SOMERSET</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CEO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30,234</w:t>
            </w:r>
            <w:r>
              <w:rPr>
                <w:rFonts w:ascii="Times;serif" w:hAnsi="Times;serif"/>
                <w:color w:val="008000"/>
                <w:position w:val="7"/>
                <w:sz w:val="16"/>
                <w:sz w:val="20"/>
                <w:shd w:fill="FFFFFF" w:val="clear"/>
              </w:rPr>
              <w:t>(2)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13,092 restritcted share units (the "RSUs") for which the performance criteria was previously determined to have been satisfied and which will vest on 12/20/2026, subject to the Reporting Person's continued service to the Issuer on such vesting date. Each RSU represents a contingent right to receive one ordinary share of the Issuer upon settlement.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bookmarkStart w:id="2" w:name="ex24-08032026_090809.htm"/>
      <w:bookmarkStart w:id="3" w:name="ksex2408032026_090809"/>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Robert Staloff of Legend Biotech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05"/>
        <w:gridCol w:w="1175"/>
        <w:gridCol w:w="75"/>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28, 2026</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Alan Bash</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Alan Bash</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08421" TargetMode="External"/><Relationship Id="rId3" Type="http://schemas.openxmlformats.org/officeDocument/2006/relationships/hyperlink" Target="http://www.sec.gov/cgi-bin/browse-edgar?action=getcompany&amp;CIK=00018011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979</Words>
  <Characters>5225</Characters>
  <CharactersWithSpaces>6177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