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4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39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54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Date of Report: October 21, 2024</w:t>
      </w:r>
    </w:p>
    <w:p>
      <w:pPr>
        <w:spacing w:after="0" w:line="225"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Commission File Number: 001-39307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43"/>
          <w:szCs w:val="43"/>
          <w:b w:val="1"/>
          <w:bCs w:val="1"/>
          <w:color w:val="auto"/>
        </w:rPr>
        <w:t>Legend Biotech Corporation</w:t>
      </w:r>
    </w:p>
    <w:p>
      <w:pPr>
        <w:spacing w:after="0" w:line="58"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2101 Cottontail Lane</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Somerset, New Jersey 08873</w:t>
      </w:r>
    </w:p>
    <w:p>
      <w:pPr>
        <w:spacing w:after="0" w:line="2"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374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on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on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-281305</wp:posOffset>
            </wp:positionH>
            <wp:positionV relativeFrom="paragraph">
              <wp:posOffset>205105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247650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9579"/>
          </w:cols>
          <w:pgMar w:left="880" w:top="376" w:right="1440" w:bottom="1440" w:gutter="0" w:footer="0" w:header="0"/>
        </w:sectPr>
      </w:pPr>
    </w:p>
    <w:bookmarkStart w:id="1" w:name="page2"/>
    <w:bookmarkEnd w:id="1"/>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October 21, 2024, Legend Biotech Corporation (the “Company”) held its 2024 Annual General Meeting of Shareholders (the “Meeting”). The voting results are attached hereto as Exhibit 99.1.</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report on Form 6-K, including Exhibit 99.1, shall be deemed to be incorporated by reference in the registration statements of the Company on Form F-3 (Nos. 333-257625, 333-272222 and 333-278050) and Form S-8 (No. 333-239478), to the extent not superseded by documents or reports subsequently filed.</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99.1 — Voting Results of Annual General Meeting</w:t>
      </w:r>
    </w:p>
    <w:p>
      <w:pPr>
        <w:sectPr>
          <w:pgSz w:w="11900" w:h="16838" w:orient="portrait"/>
          <w:cols w:equalWidth="0" w:num="1">
            <w:col w:w="11000"/>
          </w:cols>
          <w:pgMar w:left="440" w:top="270"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742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LEGEND BIOTECH CORPORATION</w:t>
            </w: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21, 2024</w:t>
            </w:r>
          </w:p>
        </w:tc>
        <w:tc>
          <w:tcPr>
            <w:tcW w:w="24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Ying Huang</w:t>
            </w:r>
          </w:p>
        </w:tc>
      </w:tr>
      <w:tr>
        <w:trPr>
          <w:trHeight w:val="191"/>
        </w:trPr>
        <w:tc>
          <w:tcPr>
            <w:tcW w:w="3600" w:type="dxa"/>
            <w:vAlign w:val="bottom"/>
          </w:tcPr>
          <w:p>
            <w:pPr>
              <w:spacing w:after="0"/>
              <w:rPr>
                <w:sz w:val="16"/>
                <w:szCs w:val="16"/>
                <w:color w:val="auto"/>
              </w:rPr>
            </w:pPr>
          </w:p>
        </w:tc>
        <w:tc>
          <w:tcPr>
            <w:tcW w:w="2460" w:type="dxa"/>
            <w:vAlign w:val="bottom"/>
          </w:tcPr>
          <w:p>
            <w:pPr>
              <w:ind w:left="19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Ying Huang, Ph.D.</w:t>
            </w:r>
          </w:p>
        </w:tc>
      </w:tr>
      <w:tr>
        <w:trPr>
          <w:trHeight w:val="234"/>
        </w:trPr>
        <w:tc>
          <w:tcPr>
            <w:tcW w:w="3600" w:type="dxa"/>
            <w:vAlign w:val="bottom"/>
          </w:tcPr>
          <w:p>
            <w:pPr>
              <w:spacing w:after="0"/>
              <w:rPr>
                <w:sz w:val="20"/>
                <w:szCs w:val="20"/>
                <w:color w:val="auto"/>
              </w:rPr>
            </w:pPr>
          </w:p>
        </w:tc>
        <w:tc>
          <w:tcPr>
            <w:tcW w:w="24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020"/>
          </w:cols>
          <w:pgMar w:left="440" w:top="266"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Results of 2024 Annual General Meeting</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At Legend Biotech Corporation’s (the “Company”) annual general meeting of shareholders held on October 21, 2024 (the “AGM”), the Company’s shareholders:</w:t>
      </w:r>
    </w:p>
    <w:p>
      <w:pPr>
        <w:spacing w:after="0" w:line="67" w:lineRule="exact"/>
        <w:rPr>
          <w:sz w:val="20"/>
          <w:szCs w:val="20"/>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the audited consolidated financial statements of the Company for the fiscal year ended December 31, 2023;</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ratified the appointment of Ernst &amp; Young LLP as the Company’s independent auditor for the fiscal year ending December 31, 2024;</w:t>
      </w:r>
    </w:p>
    <w:p>
      <w:pPr>
        <w:spacing w:after="0" w:line="130" w:lineRule="exact"/>
        <w:rPr>
          <w:rFonts w:ascii="Times New Roman" w:cs="Times New Roman" w:eastAsia="Times New Roman" w:hAnsi="Times New Roman"/>
          <w:sz w:val="18"/>
          <w:szCs w:val="18"/>
          <w:color w:val="auto"/>
        </w:rPr>
      </w:pPr>
    </w:p>
    <w:p>
      <w:pPr>
        <w:ind w:left="960" w:right="20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re-elected each of Ms. Ye Wang, Dr. Darren Xiaohui Ji, Dr. Ying Huang and Mr. Tomas Heyman to serve as a Class I director for a three-year term;</w:t>
      </w:r>
    </w:p>
    <w:p>
      <w:pPr>
        <w:spacing w:after="0" w:line="67" w:lineRule="exact"/>
        <w:rPr>
          <w:rFonts w:ascii="Times New Roman" w:cs="Times New Roman" w:eastAsia="Times New Roman" w:hAnsi="Times New Roman"/>
          <w:sz w:val="18"/>
          <w:szCs w:val="18"/>
          <w:color w:val="auto"/>
        </w:rPr>
      </w:pPr>
    </w:p>
    <w:p>
      <w:pPr>
        <w:ind w:left="960" w:right="38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the amendment and restatement of the Company’s 2020 Restricted Shares Plan to increase the aggregate number of ordinary shares reserved for issuance by 15,000,000 ordinary shares; and</w:t>
      </w:r>
    </w:p>
    <w:p>
      <w:pPr>
        <w:spacing w:after="0" w:line="67" w:lineRule="exact"/>
        <w:rPr>
          <w:rFonts w:ascii="Times New Roman" w:cs="Times New Roman" w:eastAsia="Times New Roman" w:hAnsi="Times New Roman"/>
          <w:sz w:val="18"/>
          <w:szCs w:val="18"/>
          <w:color w:val="auto"/>
        </w:rPr>
      </w:pPr>
    </w:p>
    <w:p>
      <w:pPr>
        <w:ind w:left="960" w:right="32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each of the directors and officers of the Company to take any and every action that might be necessary to effect the forgoing resolutions as such director or officer, in his or her absolute discretion, thinks fit.</w:t>
      </w:r>
    </w:p>
    <w:p>
      <w:pPr>
        <w:spacing w:after="0" w:line="162"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A total of approximately 351,102,656 ordinary shares, including those underlying ADSs, representing approximately 95.3% of the ordinary shares issued and outstanding as of September 17, 2024, the record date, were present in person or by proxy at the AGM. The results of the votes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Resolutions</w:t>
            </w:r>
          </w:p>
        </w:tc>
        <w:tc>
          <w:tcPr>
            <w:tcW w:w="4940" w:type="dxa"/>
            <w:vAlign w:val="bottom"/>
            <w:vMerge w:val="restart"/>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For</w:t>
            </w: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0" w:type="dxa"/>
            <w:vAlign w:val="bottom"/>
          </w:tcPr>
          <w:p>
            <w:pPr>
              <w:spacing w:after="0"/>
              <w:rPr>
                <w:sz w:val="1"/>
                <w:szCs w:val="1"/>
                <w:color w:val="auto"/>
              </w:rPr>
            </w:pPr>
          </w:p>
        </w:tc>
      </w:tr>
      <w:tr>
        <w:trPr>
          <w:trHeight w:val="134"/>
        </w:trPr>
        <w:tc>
          <w:tcPr>
            <w:tcW w:w="720" w:type="dxa"/>
            <w:vAlign w:val="bottom"/>
            <w:tcBorders>
              <w:bottom w:val="single" w:sz="8" w:color="auto"/>
            </w:tcBorders>
            <w:vMerge w:val="continue"/>
          </w:tcPr>
          <w:p>
            <w:pPr>
              <w:spacing w:after="0"/>
              <w:rPr>
                <w:sz w:val="11"/>
                <w:szCs w:val="11"/>
                <w:color w:val="auto"/>
              </w:rPr>
            </w:pPr>
          </w:p>
        </w:tc>
        <w:tc>
          <w:tcPr>
            <w:tcW w:w="4940" w:type="dxa"/>
            <w:vAlign w:val="bottom"/>
            <w:vMerge w:val="continue"/>
          </w:tcPr>
          <w:p>
            <w:pPr>
              <w:spacing w:after="0"/>
              <w:rPr>
                <w:sz w:val="11"/>
                <w:szCs w:val="11"/>
                <w:color w:val="auto"/>
              </w:rPr>
            </w:pPr>
          </w:p>
        </w:tc>
        <w:tc>
          <w:tcPr>
            <w:tcW w:w="1120" w:type="dxa"/>
            <w:vAlign w:val="bottom"/>
            <w:tcBorders>
              <w:top w:val="single" w:sz="8" w:color="auto"/>
            </w:tcBorders>
            <w:gridSpan w:val="2"/>
          </w:tcPr>
          <w:p>
            <w:pPr>
              <w:jc w:val="right"/>
              <w:ind w:right="460"/>
              <w:spacing w:after="0" w:line="129" w:lineRule="exact"/>
              <w:rPr>
                <w:sz w:val="20"/>
                <w:szCs w:val="20"/>
                <w:color w:val="auto"/>
              </w:rPr>
            </w:pPr>
            <w:r>
              <w:rPr>
                <w:rFonts w:ascii="Times New Roman" w:cs="Times New Roman" w:eastAsia="Times New Roman" w:hAnsi="Times New Roman"/>
                <w:sz w:val="14"/>
                <w:szCs w:val="14"/>
                <w:b w:val="1"/>
                <w:bCs w:val="1"/>
                <w:color w:val="auto"/>
              </w:rPr>
              <w:t>Votes</w:t>
            </w:r>
          </w:p>
        </w:tc>
        <w:tc>
          <w:tcPr>
            <w:tcW w:w="560" w:type="dxa"/>
            <w:vAlign w:val="bottom"/>
            <w:tcBorders>
              <w:top w:val="single" w:sz="8" w:color="auto"/>
            </w:tcBorders>
          </w:tcPr>
          <w:p>
            <w:pPr>
              <w:ind w:left="220"/>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1"/>
                <w:szCs w:val="11"/>
                <w:color w:val="auto"/>
              </w:rPr>
            </w:pPr>
          </w:p>
        </w:tc>
        <w:tc>
          <w:tcPr>
            <w:tcW w:w="1020" w:type="dxa"/>
            <w:vAlign w:val="bottom"/>
            <w:tcBorders>
              <w:top w:val="single" w:sz="8" w:color="auto"/>
            </w:tcBorders>
            <w:gridSpan w:val="2"/>
          </w:tcPr>
          <w:p>
            <w:pPr>
              <w:ind w:left="260"/>
              <w:spacing w:after="0" w:line="129" w:lineRule="exact"/>
              <w:rPr>
                <w:sz w:val="20"/>
                <w:szCs w:val="20"/>
                <w:color w:val="auto"/>
              </w:rPr>
            </w:pPr>
            <w:r>
              <w:rPr>
                <w:rFonts w:ascii="Times New Roman" w:cs="Times New Roman" w:eastAsia="Times New Roman" w:hAnsi="Times New Roman"/>
                <w:sz w:val="14"/>
                <w:szCs w:val="14"/>
                <w:b w:val="1"/>
                <w:bCs w:val="1"/>
                <w:color w:val="auto"/>
              </w:rPr>
              <w:t>Votes</w:t>
            </w:r>
          </w:p>
        </w:tc>
        <w:tc>
          <w:tcPr>
            <w:tcW w:w="540" w:type="dxa"/>
            <w:vAlign w:val="bottom"/>
            <w:tcBorders>
              <w:top w:val="single" w:sz="8" w:color="auto"/>
            </w:tcBorders>
          </w:tcPr>
          <w:p>
            <w:pPr>
              <w:jc w:val="right"/>
              <w:ind w:right="112"/>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1"/>
                <w:szCs w:val="11"/>
                <w:color w:val="auto"/>
              </w:rPr>
            </w:pPr>
          </w:p>
        </w:tc>
        <w:tc>
          <w:tcPr>
            <w:tcW w:w="820" w:type="dxa"/>
            <w:vAlign w:val="bottom"/>
            <w:tcBorders>
              <w:top w:val="single" w:sz="8" w:color="auto"/>
            </w:tcBorders>
            <w:gridSpan w:val="2"/>
          </w:tcPr>
          <w:p>
            <w:pPr>
              <w:ind w:left="160"/>
              <w:spacing w:after="0" w:line="129" w:lineRule="exact"/>
              <w:rPr>
                <w:sz w:val="20"/>
                <w:szCs w:val="20"/>
                <w:color w:val="auto"/>
              </w:rPr>
            </w:pPr>
            <w:r>
              <w:rPr>
                <w:rFonts w:ascii="Times New Roman" w:cs="Times New Roman" w:eastAsia="Times New Roman" w:hAnsi="Times New Roman"/>
                <w:sz w:val="14"/>
                <w:szCs w:val="14"/>
                <w:b w:val="1"/>
                <w:bCs w:val="1"/>
                <w:color w:val="auto"/>
              </w:rPr>
              <w:t>Votes</w:t>
            </w:r>
          </w:p>
        </w:tc>
        <w:tc>
          <w:tcPr>
            <w:tcW w:w="440" w:type="dxa"/>
            <w:vAlign w:val="bottom"/>
            <w:tcBorders>
              <w:top w:val="single" w:sz="8" w:color="auto"/>
            </w:tcBorders>
          </w:tcPr>
          <w:p>
            <w:pPr>
              <w:jc w:val="right"/>
              <w:ind w:right="52"/>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6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Reception of Audited Financial Statements</w:t>
            </w:r>
          </w:p>
        </w:tc>
        <w:tc>
          <w:tcPr>
            <w:tcW w:w="9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60" w:type="dxa"/>
            <w:vAlign w:val="bottom"/>
            <w:gridSpan w:val="2"/>
            <w:vMerge w:val="continue"/>
            <w:shd w:val="clear" w:color="auto" w:fill="CCEEFF"/>
          </w:tcPr>
          <w:p>
            <w:pPr>
              <w:spacing w:after="0"/>
              <w:rPr>
                <w:sz w:val="17"/>
                <w:szCs w:val="17"/>
                <w:color w:val="auto"/>
              </w:rPr>
            </w:pPr>
          </w:p>
        </w:tc>
        <w:tc>
          <w:tcPr>
            <w:tcW w:w="9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351,026,682</w:t>
            </w:r>
          </w:p>
        </w:tc>
        <w:tc>
          <w:tcPr>
            <w:tcW w:w="160" w:type="dxa"/>
            <w:vAlign w:val="bottom"/>
            <w:vMerge w:val="continue"/>
            <w:shd w:val="clear" w:color="auto" w:fill="CCEEFF"/>
          </w:tcPr>
          <w:p>
            <w:pPr>
              <w:spacing w:after="0"/>
              <w:rPr>
                <w:sz w:val="17"/>
                <w:szCs w:val="17"/>
                <w:color w:val="auto"/>
              </w:rPr>
            </w:pPr>
          </w:p>
        </w:tc>
        <w:tc>
          <w:tcPr>
            <w:tcW w:w="560" w:type="dxa"/>
            <w:vAlign w:val="bottom"/>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74"/>
              </w:rPr>
              <w:t>95.238%</w:t>
            </w:r>
          </w:p>
        </w:tc>
        <w:tc>
          <w:tcPr>
            <w:tcW w:w="320" w:type="dxa"/>
            <w:vAlign w:val="bottom"/>
            <w:vMerge w:val="continue"/>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35,060</w:t>
            </w:r>
          </w:p>
        </w:tc>
        <w:tc>
          <w:tcPr>
            <w:tcW w:w="16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line="203" w:lineRule="exact"/>
              <w:rPr>
                <w:sz w:val="20"/>
                <w:szCs w:val="20"/>
                <w:color w:val="auto"/>
              </w:rPr>
            </w:pPr>
            <w:r>
              <w:rPr>
                <w:rFonts w:ascii="Times New Roman" w:cs="Times New Roman" w:eastAsia="Times New Roman" w:hAnsi="Times New Roman"/>
                <w:sz w:val="18"/>
                <w:szCs w:val="18"/>
                <w:color w:val="auto"/>
              </w:rPr>
              <w:t>0.010%</w:t>
            </w:r>
          </w:p>
        </w:tc>
        <w:tc>
          <w:tcPr>
            <w:tcW w:w="640" w:type="dxa"/>
            <w:vAlign w:val="bottom"/>
            <w:shd w:val="clear" w:color="auto" w:fill="CCEEFF"/>
          </w:tcPr>
          <w:p>
            <w:pPr>
              <w:ind w:left="160"/>
              <w:spacing w:after="0" w:line="203" w:lineRule="exact"/>
              <w:rPr>
                <w:sz w:val="20"/>
                <w:szCs w:val="20"/>
                <w:color w:val="auto"/>
              </w:rPr>
            </w:pPr>
            <w:r>
              <w:rPr>
                <w:rFonts w:ascii="Times New Roman" w:cs="Times New Roman" w:eastAsia="Times New Roman" w:hAnsi="Times New Roman"/>
                <w:sz w:val="18"/>
                <w:szCs w:val="18"/>
                <w:color w:val="auto"/>
                <w:w w:val="92"/>
              </w:rPr>
              <w:t>40,914</w:t>
            </w:r>
          </w:p>
        </w:tc>
        <w:tc>
          <w:tcPr>
            <w:tcW w:w="180" w:type="dxa"/>
            <w:vAlign w:val="bottom"/>
            <w:vMerge w:val="continue"/>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0.011%</w:t>
            </w:r>
          </w:p>
        </w:tc>
        <w:tc>
          <w:tcPr>
            <w:tcW w:w="0" w:type="dxa"/>
            <w:vAlign w:val="bottom"/>
          </w:tcPr>
          <w:p>
            <w:pPr>
              <w:spacing w:after="0"/>
              <w:rPr>
                <w:sz w:val="1"/>
                <w:szCs w:val="1"/>
                <w:color w:val="auto"/>
              </w:rPr>
            </w:pPr>
          </w:p>
        </w:tc>
      </w:tr>
      <w:tr>
        <w:trPr>
          <w:trHeight w:val="194"/>
        </w:trPr>
        <w:tc>
          <w:tcPr>
            <w:tcW w:w="56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Ratification of appointment of Ernst &amp; Young LLP as Independent</w:t>
            </w: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Auditor for Fiscal Year 2024</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351,070,748</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95.250%</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3,276</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0.001%</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28,632</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0.008%</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Election of Directors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 Wang (Class I)</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254,083,338</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68.936%</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96,987,136</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26.314%</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32,182</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0.009%</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Darren Xiahui Ji (Class I)</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344,087,858</w:t>
            </w:r>
          </w:p>
        </w:tc>
        <w:tc>
          <w:tcPr>
            <w:tcW w:w="8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93.356%</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6,982,614</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1.894%</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32,184</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0.009%</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Ying Huang (Class I)</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350,256,394</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95.029%</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814,082</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0.221%</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32,180</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0.009%</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Tomas Heyman (Class I)</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344,761,778</w:t>
            </w:r>
          </w:p>
        </w:tc>
        <w:tc>
          <w:tcPr>
            <w:tcW w:w="8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93.539%</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6,307,538</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1.711%</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33,340</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0.009%</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Amendment and Restatement of 2020 Restricted Shares Plan</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347,474,014</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94.275%</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3,601,752</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0.977%</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26,890</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0.007%</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Authorization of Directors and Officers</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350,780,616</w:t>
            </w:r>
          </w:p>
        </w:tc>
        <w:tc>
          <w:tcPr>
            <w:tcW w:w="8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95.172%</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191,268</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0.052%</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130,772</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0.035%</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2024-10-21T15:10:50Z</dcterms:created>
  <dcterms:modified xsi:type="dcterms:W3CDTF">2024-10-21T15:10:50Z</dcterms:modified>
</cp:coreProperties>
</file>