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092426.htm"/>
      <w:bookmarkStart w:id="1" w:name="ksf6k_092426"/>
      <w:bookmarkEnd w:id="0"/>
      <w:bookmarkEnd w:id="1"/>
      <w:r>
        <w:rPr>
          <w:bdr w:val="single" w:sz="20" w:space="1" w:color="000000"/>
        </w:rPr>
        <w:t> </w:t>
      </w:r>
    </w:p>
    <w:p>
      <w:pPr>
        <w:pStyle w:val="TextBody"/>
        <w:bidi w:val="0"/>
        <w:jc w:val="center"/>
        <w:rPr/>
      </w:pPr>
      <w:r>
        <w:rPr>
          <w:rStyle w:val="StrongEmphasis"/>
          <w:sz w:val="28"/>
        </w:rPr>
        <w:t>UNITED STATES</w:t>
      </w:r>
      <w:r>
        <w:rPr>
          <w:sz w:val="28"/>
        </w:rPr>
        <w:br/>
      </w:r>
      <w:r>
        <w:rPr>
          <w:rStyle w:val="StrongEmphasis"/>
          <w:sz w:val="28"/>
        </w:rPr>
        <w:t>SECURITIES AND EXCHANGE COMMISSION</w:t>
      </w:r>
      <w:r>
        <w:rPr>
          <w:sz w:val="28"/>
        </w:rPr>
        <w:br/>
      </w:r>
      <w:r>
        <w:rPr>
          <w:rStyle w:val="StrongEmphasis"/>
          <w:sz w:val="28"/>
        </w:rPr>
        <w:t>Washington, D.C. 20549</w:t>
      </w:r>
    </w:p>
    <w:p>
      <w:pPr>
        <w:pStyle w:val="TextBody"/>
        <w:bidi w:val="0"/>
        <w:jc w:val="center"/>
        <w:rPr/>
      </w:pPr>
      <w:r>
        <w:rPr>
          <w:rStyle w:val="StrongEmphasis"/>
          <w:caps/>
          <w:sz w:val="28"/>
        </w:rPr>
        <w:t>Form 6-K</w:t>
      </w:r>
    </w:p>
    <w:p>
      <w:pPr>
        <w:pStyle w:val="TextBody"/>
        <w:bidi w:val="0"/>
        <w:jc w:val="center"/>
        <w:rPr/>
      </w:pPr>
      <w:r>
        <w:rPr>
          <w:rStyle w:val="StrongEmphasis"/>
        </w:rPr>
        <w:t>REPORT OF FOREIGN PRIVATE ISSUER PURSUANT TO RULE 13a-16 OR 15d-16 UNDER THE SECURITIES EXCHANGE ACT OF 1934</w:t>
      </w:r>
    </w:p>
    <w:p>
      <w:pPr>
        <w:pStyle w:val="TextBody"/>
        <w:bidi w:val="0"/>
        <w:jc w:val="center"/>
        <w:rPr/>
      </w:pPr>
      <w:r>
        <w:rPr>
          <w:rStyle w:val="StrongEmphasis"/>
        </w:rPr>
        <w:t>Date of Report: September 25, 2026</w:t>
      </w:r>
    </w:p>
    <w:p>
      <w:pPr>
        <w:pStyle w:val="TextBody"/>
        <w:bidi w:val="0"/>
        <w:jc w:val="center"/>
        <w:rPr/>
      </w:pPr>
      <w:r>
        <w:rPr/>
        <w:t xml:space="preserve">Commission File Number: </w:t>
      </w:r>
      <w:r>
        <w:rPr>
          <w:rStyle w:val="StrongEmphasis"/>
        </w:rPr>
        <w:t>001-39307</w:t>
      </w:r>
    </w:p>
    <w:p>
      <w:pPr>
        <w:pStyle w:val="TextBody"/>
        <w:bidi w:val="0"/>
        <w:jc w:val="center"/>
        <w:rPr/>
      </w:pPr>
      <w:r>
        <w:rPr>
          <w:rStyle w:val="StrongEmphasis"/>
          <w:sz w:val="24"/>
        </w:rPr>
        <w:t>Legend Biotech Corporation</w:t>
      </w:r>
      <w:r>
        <w:rPr/>
        <w:br/>
        <w:t>(Translation of registrant's name into English)</w:t>
      </w:r>
    </w:p>
    <w:p>
      <w:pPr>
        <w:pStyle w:val="TextBody"/>
        <w:bidi w:val="0"/>
        <w:jc w:val="center"/>
        <w:rPr/>
      </w:pPr>
      <w:r>
        <w:rPr>
          <w:rStyle w:val="StrongEmphasis"/>
        </w:rPr>
        <w:t>77 Corporate Drive</w:t>
        <w:br/>
        <w:t xml:space="preserve">Bridgewater, New Jersey 08807 </w:t>
      </w:r>
      <w:r>
        <w:rPr/>
        <w:br/>
        <w:t>(Address of principal executive office)</w:t>
      </w:r>
    </w:p>
    <w:p>
      <w:pPr>
        <w:pStyle w:val="TextBody"/>
        <w:bidi w:val="0"/>
        <w:spacing w:before="0" w:after="283"/>
        <w:jc w:val="left"/>
        <w:rPr/>
      </w:pPr>
      <w:r>
        <w:rPr/>
        <w:t>Indicate by check mark whether the registrant files or will file annual reports under cover of Form 20-F or Form 40-F.</w:t>
        <w:br/>
        <w:t>Form 20-F [ X ]      Form 40-F [   ]</w:t>
      </w:r>
    </w:p>
    <w:p>
      <w:pPr>
        <w:pStyle w:val="TextBody"/>
        <w:bidi w:val="0"/>
        <w:spacing w:before="0" w:after="283"/>
        <w:jc w:val="left"/>
        <w:rPr/>
      </w:pPr>
      <w:r>
        <w:rPr/>
        <w:t> </w:t>
      </w:r>
    </w:p>
    <w:p>
      <w:pPr>
        <w:pStyle w:val="TextBody"/>
        <w:bidi w:val="0"/>
        <w:spacing w:before="0" w:after="283"/>
        <w:jc w:val="left"/>
        <w:rPr/>
      </w:pPr>
      <w:r>
        <w:rPr/>
        <w:t> </w:t>
      </w:r>
    </w:p>
    <w:p>
      <w:pPr>
        <w:pStyle w:val="HorizontalLine"/>
        <w:pBdr>
          <w:bottom w:val="single" w:sz="12" w:space="0" w:color="808080"/>
        </w:pBdr>
        <w:bidi w:val="0"/>
        <w:jc w:val="left"/>
        <w:rPr/>
      </w:pPr>
      <w:r>
        <w:rPr/>
      </w:r>
    </w:p>
    <w:p>
      <w:pPr>
        <w:pStyle w:val="TextBody"/>
        <w:bidi w:val="0"/>
        <w:spacing w:before="0" w:after="283"/>
        <w:jc w:val="left"/>
        <w:rPr/>
      </w:pPr>
      <w:r>
        <w:rPr>
          <w:rStyle w:val="StrongEmphasis"/>
        </w:rPr>
        <w:t>Legend Biotech Presents Five-Year CARVYKTI® Progression-Free Survival Data at IMS 2026 </w:t>
      </w:r>
    </w:p>
    <w:p>
      <w:pPr>
        <w:pStyle w:val="TextBody"/>
        <w:bidi w:val="0"/>
        <w:spacing w:before="0" w:after="283"/>
        <w:jc w:val="left"/>
        <w:rPr/>
      </w:pPr>
      <w:r>
        <w:rPr/>
        <w:t>On September 25, 2026, Legend Biotech Corporation (the “Company”) issued a press release announcing five-year follow-up data from CARTITUDE-2 Cohort A evaluating CARVYKTI® (ciltacabtagene autoleucel; cilta-cel) in patients with relapsed/refractory multiple myeloma (RRMM) after one to three prior lines of therapy. The press release is attached to this Form 6-K as Exhibit 99.1.</w:t>
      </w:r>
    </w:p>
    <w:p>
      <w:pPr>
        <w:pStyle w:val="TextBody"/>
        <w:bidi w:val="0"/>
        <w:spacing w:before="0" w:after="283"/>
        <w:jc w:val="left"/>
        <w:rPr/>
      </w:pPr>
      <w:r>
        <w:rPr/>
        <w:t>This report on Form 6-K, including the exhibits attached hereto, shall be deemed to be incorporated by reference in the registration statements of the Company on Form F-3 (Nos. 333-278050 and 333-257625) and Form S-8 (Nos. 333-239478 and 333-283217), to the extent not superseded by documents or reports subsequently filed.</w:t>
      </w:r>
    </w:p>
    <w:p>
      <w:pPr>
        <w:pStyle w:val="TextBody"/>
        <w:bidi w:val="0"/>
        <w:jc w:val="center"/>
        <w:rPr/>
      </w:pPr>
      <w:r>
        <w:rPr>
          <w:rStyle w:val="StrongEmphasis"/>
          <w:sz w:val="20"/>
          <w:u w:val="single"/>
        </w:rPr>
        <w:t>EXHIBIT INDEX</w:t>
      </w:r>
      <w:r>
        <w:rPr>
          <w:u w:val="single"/>
        </w:rPr>
        <w:t xml:space="preserve"> </w:t>
      </w:r>
      <w:r>
        <w:rPr/>
        <w:t> </w:t>
      </w:r>
    </w:p>
    <w:tbl>
      <w:tblPr>
        <w:tblW w:w="4255" w:type="dxa"/>
        <w:jc w:val="left"/>
        <w:tblInd w:w="0" w:type="dxa"/>
        <w:tblLayout w:type="fixed"/>
        <w:tblCellMar>
          <w:top w:w="0" w:type="dxa"/>
          <w:left w:w="0" w:type="dxa"/>
          <w:bottom w:w="0" w:type="dxa"/>
          <w:right w:w="0" w:type="dxa"/>
        </w:tblCellMar>
      </w:tblPr>
      <w:tblGrid>
        <w:gridCol w:w="650"/>
        <w:gridCol w:w="300"/>
        <w:gridCol w:w="3305"/>
      </w:tblGrid>
      <w:tr>
        <w:trPr/>
        <w:tc>
          <w:tcPr>
            <w:tcW w:w="650" w:type="dxa"/>
            <w:tcBorders/>
            <w:vAlign w:val="center"/>
          </w:tcPr>
          <w:p>
            <w:pPr>
              <w:pStyle w:val="TableContents"/>
              <w:bidi w:val="0"/>
              <w:spacing w:before="0" w:after="283"/>
              <w:jc w:val="left"/>
              <w:rPr/>
            </w:pPr>
            <w:r>
              <w:rPr>
                <w:rStyle w:val="StrongEmphasis"/>
                <w:sz w:val="20"/>
              </w:rPr>
              <w:t>Exhibit</w:t>
            </w:r>
          </w:p>
        </w:tc>
        <w:tc>
          <w:tcPr>
            <w:tcW w:w="300"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283"/>
              <w:jc w:val="left"/>
              <w:rPr/>
            </w:pPr>
            <w:r>
              <w:rPr>
                <w:rStyle w:val="StrongEmphasis"/>
                <w:sz w:val="20"/>
              </w:rPr>
              <w:t>Title</w:t>
            </w:r>
          </w:p>
        </w:tc>
      </w:tr>
      <w:tr>
        <w:trPr/>
        <w:tc>
          <w:tcPr>
            <w:tcW w:w="65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pPr>
            <w:hyperlink w:anchor="exh_991.htm">
              <w:r>
                <w:rPr>
                  <w:rStyle w:val="InternetLink"/>
                  <w:sz w:val="20"/>
                </w:rPr>
                <w:t>99.1</w:t>
              </w:r>
            </w:hyperlink>
          </w:p>
        </w:tc>
        <w:tc>
          <w:tcPr>
            <w:tcW w:w="300"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283"/>
              <w:jc w:val="left"/>
              <w:rPr/>
            </w:pPr>
            <w:hyperlink w:anchor="exh_991.htm">
              <w:r>
                <w:rPr>
                  <w:rStyle w:val="InternetLink"/>
                  <w:sz w:val="20"/>
                </w:rPr>
                <w:t>Press Release dated September 25, 2026</w:t>
              </w:r>
            </w:hyperlink>
            <w:r>
              <w:rPr>
                <w:sz w:val="20"/>
              </w:rPr>
              <w:t xml:space="preserve"> </w:t>
            </w:r>
          </w:p>
        </w:tc>
      </w:tr>
    </w:tbl>
    <w:p>
      <w:pPr>
        <w:pStyle w:val="HorizontalLine"/>
        <w:pBdr>
          <w:bottom w:val="single" w:sz="12" w:space="0" w:color="808080"/>
        </w:pBdr>
        <w:bidi w:val="0"/>
        <w:jc w:val="left"/>
        <w:rPr/>
      </w:pPr>
      <w:r>
        <w:rPr/>
      </w:r>
    </w:p>
    <w:p>
      <w:pPr>
        <w:pStyle w:val="TextBody"/>
        <w:bidi w:val="0"/>
        <w:jc w:val="center"/>
        <w:rPr/>
      </w:pPr>
      <w:r>
        <w:rPr>
          <w:rStyle w:val="StrongEmphasis"/>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Layout w:type="fixed"/>
        <w:tblCellMar>
          <w:top w:w="0" w:type="dxa"/>
          <w:left w:w="0" w:type="dxa"/>
          <w:bottom w:w="0" w:type="dxa"/>
          <w:right w:w="0" w:type="dxa"/>
        </w:tblCellMar>
      </w:tblPr>
      <w:tblGrid>
        <w:gridCol w:w="4796"/>
        <w:gridCol w:w="612"/>
        <w:gridCol w:w="4797"/>
      </w:tblGrid>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rStyle w:val="StrongEmphasis"/>
                <w:u w:val="single"/>
              </w:rPr>
              <w:t>    </w:t>
            </w:r>
            <w:r>
              <w:rPr>
                <w:rStyle w:val="StrongEmphasis"/>
                <w:u w:val="single"/>
              </w:rPr>
              <w:t>Legend Biotech Corporation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(Registrant)</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c>
          <w:tcPr>
            <w:tcW w:w="4796" w:type="dxa"/>
            <w:tcBorders/>
          </w:tcPr>
          <w:p>
            <w:pPr>
              <w:pStyle w:val="TableContents"/>
              <w:bidi w:val="0"/>
              <w:spacing w:before="0" w:after="283"/>
              <w:jc w:val="left"/>
              <w:rPr/>
            </w:pPr>
            <w:r>
              <w:rPr/>
              <w:t>Date: September 24, 2026</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u w:val="single"/>
              </w:rPr>
            </w:pPr>
            <w:r>
              <w:rPr>
                <w:u w:val="single"/>
              </w:rPr>
              <w:t>    </w:t>
            </w:r>
            <w:r>
              <w:rPr>
                <w:u w:val="single"/>
              </w:rPr>
              <w:t>/s/ Ingrid Zhang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Ingrid Zhang</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Chief Executive Officer</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bl>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sz w:val="28"/>
        </w:rPr>
        <w:t>Legend Biotech Presents CARVYKTI Data Showing Half of Patients with RRMM Remained Progression-Free and Alive Five Years After a Single Infusion</w:t>
      </w:r>
    </w:p>
    <w:p>
      <w:pPr>
        <w:pStyle w:val="TextBody"/>
        <w:bidi w:val="0"/>
        <w:jc w:val="center"/>
        <w:rPr/>
      </w:pPr>
      <w:r>
        <w:rPr>
          <w:rStyle w:val="Emphasis"/>
        </w:rPr>
        <w:t>Five-year overall survival rate was 69.2%, adding to growing long-term evidence supporting the curative potential of CARVYKTI in earlier-line RRMM</w:t>
      </w:r>
    </w:p>
    <w:p>
      <w:pPr>
        <w:pStyle w:val="TextBody"/>
        <w:bidi w:val="0"/>
        <w:jc w:val="both"/>
        <w:rPr/>
      </w:pPr>
      <w:r>
        <w:rPr/>
        <w:t>BRIDGEWATER, N.J., Sept. 25, 2026 (GLOBE NEWSWIRE) -- Legend Biotech Corporation (NASDAQ: LEGN) (Legend Biotech), a global leader in cell therapy, today announced five-year follow-up data from CARTITUDE-2 Cohort A (n=20) evaluating CARVYKTI</w:t>
      </w:r>
      <w:r>
        <w:rPr>
          <w:position w:val="8"/>
          <w:sz w:val="19"/>
        </w:rPr>
        <w:t>®</w:t>
      </w:r>
      <w:r>
        <w:rPr/>
        <w:t xml:space="preserve"> (ciltacabtagene autoleucel; cilta-cel) in patients with relapsed/refractory multiple myeloma (RRMM) after one to three prior lines of therapy after a median follow-up of 60.7 months. These data were presented today at the 2026 International Myeloma Society (IMS) Annual Meeting in Glasgow, Scotland (Abstract #PA-288).</w:t>
      </w:r>
    </w:p>
    <w:p>
      <w:pPr>
        <w:pStyle w:val="TextBody"/>
        <w:bidi w:val="0"/>
        <w:jc w:val="both"/>
        <w:rPr/>
      </w:pPr>
      <w:r>
        <w:rPr/>
        <w:t>The data showed that five years after a single CARVYKTI infusion, 10 of 20 patients (50%) remained alive and progression-free without maintenance therapy. The findings build on long-term outcomes previously observed in CARTITUDE-1 and suggest that earlier use of CARVYKTI may increase the likelihood of achieving durable treatment-free remission, further strengthening evidence supporting its potential to transform expectations in multiple myeloma.</w:t>
      </w:r>
    </w:p>
    <w:p>
      <w:pPr>
        <w:pStyle w:val="TextBody"/>
        <w:bidi w:val="0"/>
        <w:jc w:val="both"/>
        <w:rPr/>
      </w:pPr>
      <w:r>
        <w:rPr/>
        <w:t>“</w:t>
      </w:r>
      <w:r>
        <w:rPr/>
        <w:t>These five-year data, showing that 50% of patients remained alive and progression-free after a single CARVYKTI infusion, reinforce the growing body of evidence supporting the unique curative potential of CARVYKTI,” said Alan Bash, President, CARVYKTI at Legend Biotech.</w:t>
      </w:r>
    </w:p>
    <w:p>
      <w:pPr>
        <w:pStyle w:val="TextBody"/>
        <w:bidi w:val="0"/>
        <w:jc w:val="both"/>
        <w:rPr/>
      </w:pPr>
      <w:r>
        <w:rPr/>
        <w:t>Multiple myeloma is a blood cancer that can place a significant physical and emotional burden on patients throughout the course of their disease. Patients may experience symptoms including bone pain, fatigue, weakness, infections, and kidney problems, which can affect their ability to work, remain active, and participate in everyday life. Multiple myeloma often requires ongoing treatment and may recur after periods of remission, leading patients to undergo multiple cycles of therapy over many years.</w:t>
      </w:r>
      <w:r>
        <w:rPr>
          <w:position w:val="8"/>
          <w:sz w:val="19"/>
        </w:rPr>
        <w:t>i,ii</w:t>
      </w:r>
    </w:p>
    <w:p>
      <w:pPr>
        <w:pStyle w:val="TextBody"/>
        <w:bidi w:val="0"/>
        <w:jc w:val="both"/>
        <w:rPr/>
      </w:pPr>
      <w:r>
        <w:rPr/>
        <w:t>“</w:t>
      </w:r>
      <w:r>
        <w:rPr/>
        <w:t>To be more than five years out from a single treatment and still able to focus on living my life rather than my next therapy is something I never imagined when I was diagnosed,” said Joe Rader, CARTITUDE-2 Cohort A participant. “When you live with multiple myeloma, you learn to measure time differently - from one treatment to the next, one scan to the next.”</w:t>
      </w:r>
    </w:p>
    <w:p>
      <w:pPr>
        <w:pStyle w:val="TextBody"/>
        <w:bidi w:val="0"/>
        <w:jc w:val="both"/>
        <w:rPr/>
      </w:pPr>
      <w:r>
        <w:rPr/>
        <w:t>“</w:t>
      </w:r>
      <w:r>
        <w:rPr/>
        <w:t xml:space="preserve">For people living with multiple myeloma, the possibility of spending years without disease progression or the need for ongoing treatment can be incredibly meaningful,” said Niels van de Donk, M.D., Ph.D., Professor of Hematology at Amsterdam UMC. </w:t>
      </w:r>
      <w:r>
        <w:rPr>
          <w:rStyle w:val="Emphasis"/>
        </w:rPr>
        <w:t>“</w:t>
      </w:r>
      <w:r>
        <w:rPr/>
        <w:t>I believe these findings, that show half of the patients in the cohort remain progression- and treatment-free at five years, are unique in multiple myeloma and give us reason for optimism and deepen our understanding of what may be possible when CARVYKTI is used earlier in the treatment journey. Ultimately, our hope is to help more patients achieve lasting disease control and spend less time cycling through treatments.”</w:t>
      </w:r>
    </w:p>
    <w:p>
      <w:pPr>
        <w:pStyle w:val="TextBody"/>
        <w:bidi w:val="0"/>
        <w:jc w:val="both"/>
        <w:rPr/>
      </w:pPr>
      <w:r>
        <w:rPr>
          <w:rStyle w:val="StrongEmphasis"/>
        </w:rPr>
        <w:t>Five-Year CARTITUDE-2 Cohort A Data Show Sustained Remission in Earlier-Line RRMM</w:t>
      </w:r>
    </w:p>
    <w:p>
      <w:pPr>
        <w:pStyle w:val="TextBody"/>
        <w:bidi w:val="0"/>
        <w:jc w:val="both"/>
        <w:rPr/>
      </w:pPr>
      <w:r>
        <w:rPr/>
        <w:t>With extended follow-up, patients continued to experience durable clinical benefit, with a median PFS of 60.5 months. Median overall survival was not reached at the time of analysis, and 69.2% of patients were alive at five years. With a median follow-up of 60.7 months, 10 of 20 patients (50%) remained alive and progression-free without further anti-myeloma treatment ≥5 years after CARVYKTI infusion.</w:t>
      </w:r>
    </w:p>
    <w:p>
      <w:pPr>
        <w:pStyle w:val="TextBody"/>
        <w:bidi w:val="0"/>
        <w:spacing w:before="0" w:after="283"/>
        <w:jc w:val="left"/>
        <w:rPr/>
      </w:pPr>
      <w:r>
        <w:rPr/>
        <w:t>The safety profile observed with longer follow-up was consistent with the known safety profile of CARVYKTI, with no new CAR T-cell-related neurotoxicity reported. Since the previous analysis of CARTITUDE-2 Cohort A with a median follow-up of approximately 30 months,</w:t>
      </w:r>
      <w:r>
        <w:rPr>
          <w:position w:val="8"/>
          <w:sz w:val="19"/>
        </w:rPr>
        <w:t>iii</w:t>
      </w:r>
      <w:r>
        <w:rPr/>
        <w:t xml:space="preserve"> one patient developed a new hematologic malignancy (acute myeloid leukemia) and two deaths occurred due to progressive disease and new cancer.</w:t>
      </w:r>
    </w:p>
    <w:p>
      <w:pPr>
        <w:pStyle w:val="TextBody"/>
        <w:bidi w:val="0"/>
        <w:jc w:val="both"/>
        <w:rPr/>
      </w:pPr>
      <w:r>
        <w:rPr>
          <w:rStyle w:val="StrongEmphasis"/>
        </w:rPr>
        <w:t>ABOUT CARVYKTI</w:t>
      </w:r>
      <w:r>
        <w:rPr>
          <w:rStyle w:val="StrongEmphasis"/>
          <w:position w:val="8"/>
          <w:sz w:val="19"/>
        </w:rPr>
        <w:t>®</w:t>
      </w:r>
      <w:r>
        <w:rPr>
          <w:rStyle w:val="StrongEmphasis"/>
        </w:rPr>
        <w:t> (CILTACABTAGENE AUTOLEUCEL; CILTA-CEL)</w:t>
      </w:r>
      <w:r>
        <w:rPr/>
        <w:br/>
        <w:t>Ciltacabtagene autoleucel is a BCMA-directed, genetically modified autologous T-cell immunotherapy, which involves reprogramming a patient’s own T-cells with a transgene encoding a chimeric antigen receptor (CAR) that identifies and eliminates cells that express BCMA. The cilta-cel CAR protein features two BCMA-targeting single-domain antibodies designed to confer high avidity against human BCMA. Upon binding to BCMA-expressing cells, the CAR promotes T-cell activation, expansion, and elimination of target cells.</w:t>
      </w:r>
      <w:r>
        <w:rPr>
          <w:position w:val="8"/>
          <w:sz w:val="19"/>
        </w:rPr>
        <w:t>iv</w:t>
      </w:r>
    </w:p>
    <w:p>
      <w:pPr>
        <w:pStyle w:val="TextBody"/>
        <w:bidi w:val="0"/>
        <w:jc w:val="both"/>
        <w:rPr/>
      </w:pPr>
      <w:r>
        <w:rPr/>
        <w:t>In December 2017, Legend Biotech entered into an exclusive worldwide license and collaboration agreement with Janssen Biotech, Inc., a Johnson &amp; Johnson company, to develop and commercialize cilta-cel. In February 2022, cilta-cel was approved by the U.S. Food and Drug Administration (FDA) under the brand name CARVYKTI</w:t>
      </w:r>
      <w:r>
        <w:rPr>
          <w:position w:val="8"/>
          <w:sz w:val="19"/>
        </w:rPr>
        <w:t>®</w:t>
      </w:r>
      <w:r>
        <w:rPr/>
        <w:t> for the treatment of adults with relapsed or refractory multiple myeloma. In April 2024, cilta-cel was approved for the second-line treatment of patients with relapsed/refractory myeloma who have received at least one prior line of therapy, including a proteasome inhibitor, an immunomodulatory agent, and are refractory to lenalidomide.</w:t>
      </w:r>
    </w:p>
    <w:p>
      <w:pPr>
        <w:pStyle w:val="TextBody"/>
        <w:bidi w:val="0"/>
        <w:jc w:val="both"/>
        <w:rPr/>
      </w:pPr>
      <w:r>
        <w:rPr/>
        <w:t>In May 2022, the European Commission (EC) granted conditional marketing authorization of CARVYKTI</w:t>
      </w:r>
      <w:r>
        <w:rPr>
          <w:position w:val="8"/>
          <w:sz w:val="19"/>
        </w:rPr>
        <w:t>® </w:t>
      </w:r>
      <w:r>
        <w:rPr/>
        <w:t>for the treatment of adults with relapsed and refractory multiple myeloma. In September 2022, Japan’s Ministry of Health, Labour and Welfare (MHLW) approved CARVYKTI</w:t>
      </w:r>
      <w:r>
        <w:rPr>
          <w:position w:val="8"/>
          <w:sz w:val="19"/>
        </w:rPr>
        <w:t>®</w:t>
      </w:r>
      <w:r>
        <w:rPr/>
        <w:t>. Cilta-cel was granted Breakthrough Therapy Designation in the U.S. in December 2019 and in China in August 2020. In addition, cilta-cel received a PRIority MEdicines (PRIME) designation from the European Commission in April 2019. Cilta-cel also received Orphan Drug Designation from the U.S. FDA in February 2019, from the European Commission in February 2020, and from the Pharmaceuticals and Medicinal Devices Agency (PMDA) in Japan in June 2020. In March 2022, the European Medicines Agency’s Committee for Orphan Medicinal Products recommended by consensus that the orphan designation for cilta-cel be maintained on the basis of clinical data demonstrating improved and sustained complete response rates following treatment.</w:t>
      </w:r>
    </w:p>
    <w:p>
      <w:pPr>
        <w:pStyle w:val="TextBody"/>
        <w:bidi w:val="0"/>
        <w:jc w:val="both"/>
        <w:rPr/>
      </w:pPr>
      <w:r>
        <w:rPr>
          <w:rStyle w:val="StrongEmphasis"/>
        </w:rPr>
        <w:t>ABOUT MULTIPLE MYELOMA</w:t>
      </w:r>
      <w:r>
        <w:rPr/>
        <w:br/>
        <w:t>Multiple myeloma is a blood cancer that starts when plasma cells, a type of white blood cell found in the bone marrow, become cancerous and grow.</w:t>
      </w:r>
      <w:r>
        <w:rPr>
          <w:position w:val="8"/>
          <w:sz w:val="19"/>
        </w:rPr>
        <w:t>v</w:t>
      </w:r>
      <w:r>
        <w:rPr/>
        <w:t xml:space="preserve"> In 2026, it is estimated that more than 36,000 people will be diagnosed with multiple myeloma, and more than 10,000 people will die from the disease in the U.S.</w:t>
      </w:r>
      <w:r>
        <w:rPr>
          <w:position w:val="8"/>
          <w:sz w:val="19"/>
        </w:rPr>
        <w:t>vi</w:t>
      </w:r>
      <w:r>
        <w:rPr/>
        <w:t xml:space="preserve"> While some patients with multiple myeloma initially have no symptoms, most patients are diagnosed due to symptoms that can include bone problems, low blood counts, calcium elevation, kidney problems, or infections.</w:t>
      </w:r>
      <w:r>
        <w:rPr>
          <w:position w:val="8"/>
          <w:sz w:val="19"/>
        </w:rPr>
        <w:t>vii</w:t>
      </w:r>
    </w:p>
    <w:p>
      <w:pPr>
        <w:pStyle w:val="TextBody"/>
        <w:bidi w:val="0"/>
        <w:jc w:val="both"/>
        <w:rPr/>
      </w:pPr>
      <w:r>
        <w:rPr>
          <w:rStyle w:val="StrongEmphasis"/>
        </w:rPr>
        <w:t>ABOUT CARTITUDE-1</w:t>
      </w:r>
      <w:r>
        <w:rPr/>
        <w:br/>
        <w:t>CARTITUDE-1 (NCT03548207) is a Phase 1b/2, open-label, multicenter study evaluating the safety and efficacy of cilta-cel in adults with relapsed and/or refractory with multiple myeloma who have received at least 3 prior lines of therapy or are double refractory to a PI and IMiD, received a PI, an IMiD, and anti-CD38 antibody and documented disease progression within 12 months of starting the most recent therapy. The primary objective of the Phase 1b portion of the study was to characterize the safety and confirm the recommended Phase 2 dose of cilta-cel, informed by the first-in-human study with LCAR-B38M CAR-T cells (LEGEND-2). The Phase 2 portion further evaluated the efficacy of cilta-cel with overall response rate as the primary endpoint.</w:t>
      </w:r>
      <w:r>
        <w:rPr>
          <w:position w:val="8"/>
          <w:sz w:val="19"/>
          <w:u w:val="single"/>
        </w:rPr>
        <w:t>viii</w:t>
      </w:r>
    </w:p>
    <w:p>
      <w:pPr>
        <w:pStyle w:val="TextBody"/>
        <w:bidi w:val="0"/>
        <w:jc w:val="both"/>
        <w:rPr/>
      </w:pPr>
      <w:r>
        <w:rPr>
          <w:rStyle w:val="StrongEmphasis"/>
        </w:rPr>
        <w:t>ABOUT CARTITUDE-2</w:t>
      </w:r>
      <w:r>
        <w:rPr/>
        <w:br/>
        <w:t>CARTITUDE-2 (NCT04133636) is an ongoing Phase 2 multicohort study evaluating the safety and efficacy of cilta-cel in patients with multiple myeloma across various clinical settings. CARTITUDE-2 Cohort A evaluated cilta-cel in patients who had received one to three prior lines of therapy, including a proteasome inhibitor and an immunomodulatory drug, and lenalidomide refractory. The primary objective of Cohort A was to evaluate the efficacy of cilta-cel, with minimal residual disease (MRD) negativity serving as the primary endpoint.</w:t>
      </w:r>
      <w:r>
        <w:rPr>
          <w:position w:val="8"/>
          <w:sz w:val="19"/>
          <w:u w:val="single"/>
        </w:rPr>
        <w:t>ix</w:t>
      </w:r>
    </w:p>
    <w:p>
      <w:pPr>
        <w:pStyle w:val="TextBody"/>
        <w:bidi w:val="0"/>
        <w:jc w:val="both"/>
        <w:rPr/>
      </w:pPr>
      <w:r>
        <w:rPr>
          <w:rStyle w:val="StrongEmphasis"/>
        </w:rPr>
        <w:t>ABOUT LEGEND BIOTECH</w:t>
      </w:r>
      <w:r>
        <w:rPr/>
        <w:br/>
        <w:t>With over 3,000 employees, Legend Biotech is the largest standalone cell therapy company and a pioneer in treatments that change cancer care forever. Legend Biotech is at the forefront of the CAR-T cell therapy revolution with CARVYKTI</w:t>
      </w:r>
      <w:r>
        <w:rPr>
          <w:position w:val="8"/>
          <w:sz w:val="19"/>
        </w:rPr>
        <w:t>®</w:t>
      </w:r>
      <w:r>
        <w:rPr/>
        <w:t>, a one-time treatment for relapsed or refractory multiple myeloma, which it develops and markets with collaborator Johnson &amp; Johnson. Centered in the United States, Legend Biotech is building an end-to-end cell therapy company by expanding its leadership to maximize CARVYKTI’s patient access and therapeutic potential. From this platform, Legend Biotech plans to drive future innovation across its pipeline of cutting-edge cell therapy modalities.</w:t>
      </w:r>
    </w:p>
    <w:p>
      <w:pPr>
        <w:pStyle w:val="TextBody"/>
        <w:bidi w:val="0"/>
        <w:jc w:val="both"/>
        <w:rPr/>
      </w:pPr>
      <w:r>
        <w:rPr/>
        <w:t>Learn more at https://legendbiotech.com and follow us on X and LinkedIn, and Instagram.</w:t>
      </w:r>
    </w:p>
    <w:p>
      <w:pPr>
        <w:pStyle w:val="TextBody"/>
        <w:bidi w:val="0"/>
        <w:spacing w:before="0" w:after="283"/>
        <w:jc w:val="left"/>
        <w:rPr/>
      </w:pPr>
      <w:r>
        <w:rPr>
          <w:rStyle w:val="StrongEmphasis"/>
        </w:rPr>
        <w:t>CARVYKTI</w:t>
      </w:r>
      <w:r>
        <w:rPr>
          <w:rStyle w:val="StrongEmphasis"/>
          <w:position w:val="8"/>
          <w:sz w:val="19"/>
        </w:rPr>
        <w:t>®</w:t>
      </w:r>
      <w:r>
        <w:rPr>
          <w:rStyle w:val="StrongEmphasis"/>
        </w:rPr>
        <w:t xml:space="preserve"> IMPORTANT SAFETY INFORMATION</w:t>
      </w:r>
    </w:p>
    <w:tbl>
      <w:tblPr>
        <w:tblW w:w="10205" w:type="dxa"/>
        <w:jc w:val="left"/>
        <w:tblInd w:w="-10" w:type="dxa"/>
        <w:tblLayout w:type="fixed"/>
        <w:tblCellMar>
          <w:top w:w="28" w:type="dxa"/>
          <w:left w:w="28" w:type="dxa"/>
          <w:bottom w:w="28" w:type="dxa"/>
          <w:right w:w="28" w:type="dxa"/>
        </w:tblCellMar>
      </w:tblPr>
      <w:tblGrid>
        <w:gridCol w:w="10205"/>
      </w:tblGrid>
      <w:tr>
        <w:trPr/>
        <w:tc>
          <w:tcPr>
            <w:tcW w:w="1020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rStyle w:val="StrongEmphasis"/>
              </w:rPr>
              <w:t>WARNING: CYTOKINE RELEASE SYNDROME, NEUROLOGIC TOXICITIES, HLH/MAS, PROLONGED and RECURRENT CYTOPENIA, and SECONDARY HEMATOLOGICAL MALIGNANCIES</w:t>
            </w:r>
            <w:r>
              <w:rPr/>
              <w:br/>
              <w:br/>
            </w:r>
            <w:r>
              <w:rPr>
                <w:rStyle w:val="StrongEmphasis"/>
              </w:rPr>
              <w:t>Cytokine Release Syndrome (CRS), including fatal or life-threatening reactions, occurred in patients following treatment with CARVYKTI</w:t>
            </w:r>
            <w:r>
              <w:rPr>
                <w:rStyle w:val="StrongEmphasis"/>
                <w:position w:val="8"/>
                <w:sz w:val="19"/>
              </w:rPr>
              <w:t>®</w:t>
            </w:r>
            <w:r>
              <w:rPr>
                <w:rStyle w:val="StrongEmphasis"/>
              </w:rPr>
              <w:t>. Do not administer CARVYKTI</w:t>
            </w:r>
            <w:r>
              <w:rPr>
                <w:rStyle w:val="StrongEmphasis"/>
                <w:position w:val="8"/>
                <w:sz w:val="19"/>
              </w:rPr>
              <w:t>®</w:t>
            </w:r>
            <w:r>
              <w:rPr>
                <w:rStyle w:val="StrongEmphasis"/>
              </w:rPr>
              <w:t xml:space="preserve"> to patients with active infection or inflammatory disorders. Treat severe or life-threatening CRS with tocilizumab or tocilizumab and corticosteroids.</w:t>
            </w:r>
            <w:r>
              <w:rPr/>
              <w:br/>
              <w:br/>
            </w:r>
            <w:r>
              <w:rPr>
                <w:rStyle w:val="StrongEmphasis"/>
              </w:rPr>
              <w:t>Immune Effector Cell-associated Neurotoxicity Syndrome (ICANS), which may be fatal or life-threatening, occurred following treatment with CARVYKTI</w:t>
            </w:r>
            <w:r>
              <w:rPr>
                <w:rStyle w:val="StrongEmphasis"/>
                <w:position w:val="8"/>
                <w:sz w:val="19"/>
              </w:rPr>
              <w:t>®</w:t>
            </w:r>
            <w:r>
              <w:rPr>
                <w:rStyle w:val="StrongEmphasis"/>
              </w:rPr>
              <w:t>, including before CRS onset, concurrently with CRS, after CRS resolution, or in the absence of CRS. Monitor for neurologic events after treatment with CARVYKTI</w:t>
            </w:r>
            <w:r>
              <w:rPr>
                <w:rStyle w:val="StrongEmphasis"/>
                <w:position w:val="8"/>
                <w:sz w:val="19"/>
              </w:rPr>
              <w:t>®</w:t>
            </w:r>
            <w:r>
              <w:rPr>
                <w:rStyle w:val="StrongEmphasis"/>
              </w:rPr>
              <w:t>. Provide supportive care and/or corticosteroids as needed.</w:t>
            </w:r>
            <w:r>
              <w:rPr/>
              <w:br/>
              <w:br/>
            </w:r>
            <w:r>
              <w:rPr>
                <w:rStyle w:val="StrongEmphasis"/>
              </w:rPr>
              <w:t>Parkinsonism and Guillain-Barré syndrome (GBS) and their associated complications resulting in fatal or life-threatening reactions have occurred following treatment with CARVYKTI</w:t>
            </w:r>
            <w:r>
              <w:rPr>
                <w:rStyle w:val="StrongEmphasis"/>
                <w:position w:val="8"/>
                <w:sz w:val="19"/>
              </w:rPr>
              <w:t>®</w:t>
            </w:r>
            <w:r>
              <w:rPr>
                <w:rStyle w:val="StrongEmphasis"/>
              </w:rPr>
              <w:t>.</w:t>
            </w:r>
            <w:r>
              <w:rPr/>
              <w:br/>
              <w:br/>
            </w:r>
            <w:r>
              <w:rPr>
                <w:rStyle w:val="StrongEmphasis"/>
              </w:rPr>
              <w:t>Hemophagocytic Lymphohistiocytosis/Macrophage Activation Syndrome (HLH/MAS), including fatal and life-threatening reactions, occurred in patients following treatment with CARVYKTI</w:t>
            </w:r>
            <w:r>
              <w:rPr>
                <w:rStyle w:val="StrongEmphasis"/>
                <w:position w:val="8"/>
                <w:sz w:val="19"/>
              </w:rPr>
              <w:t>®</w:t>
            </w:r>
            <w:r>
              <w:rPr>
                <w:rStyle w:val="StrongEmphasis"/>
              </w:rPr>
              <w:t>. HLH/MAS can occur with CRS or neurologic toxicities.</w:t>
            </w:r>
            <w:r>
              <w:rPr/>
              <w:br/>
              <w:br/>
            </w:r>
            <w:r>
              <w:rPr>
                <w:rStyle w:val="StrongEmphasis"/>
              </w:rPr>
              <w:t>Prolonged and/or recurrent cytopenias with bleeding and infection and requirement for stem cell transplantation for hematopoietic recovery occurred following treatment with CARVYKTI</w:t>
            </w:r>
            <w:r>
              <w:rPr>
                <w:rStyle w:val="StrongEmphasis"/>
                <w:position w:val="8"/>
                <w:sz w:val="19"/>
              </w:rPr>
              <w:t>®</w:t>
            </w:r>
            <w:r>
              <w:rPr>
                <w:rStyle w:val="StrongEmphasis"/>
              </w:rPr>
              <w:t>.</w:t>
            </w:r>
            <w:r>
              <w:rPr/>
              <w:br/>
              <w:br/>
            </w:r>
            <w:r>
              <w:rPr>
                <w:rStyle w:val="StrongEmphasis"/>
              </w:rPr>
              <w:t>Immune Effector Cell-associated Enterocolitis (IEC-EC), including fatal or life-threatening reactions, occurred following treatment with CARVYKTI</w:t>
            </w:r>
            <w:r>
              <w:rPr>
                <w:rStyle w:val="StrongEmphasis"/>
                <w:position w:val="8"/>
                <w:sz w:val="19"/>
              </w:rPr>
              <w:t>®</w:t>
            </w:r>
            <w:r>
              <w:rPr>
                <w:rStyle w:val="StrongEmphasis"/>
              </w:rPr>
              <w:t>.</w:t>
            </w:r>
            <w:r>
              <w:rPr/>
              <w:br/>
              <w:br/>
            </w:r>
            <w:r>
              <w:rPr>
                <w:rStyle w:val="StrongEmphasis"/>
              </w:rPr>
              <w:t>Secondary hematological malignancies, including myelodysplastic syndrome and acute myeloid leukemia, have occurred in patients following treatment with CARVYKTI</w:t>
            </w:r>
            <w:r>
              <w:rPr>
                <w:rStyle w:val="StrongEmphasis"/>
                <w:position w:val="8"/>
                <w:sz w:val="19"/>
              </w:rPr>
              <w:t>®</w:t>
            </w:r>
            <w:r>
              <w:rPr>
                <w:rStyle w:val="StrongEmphasis"/>
              </w:rPr>
              <w:t>. T-cell malignancies have occurred following treatment of hematologic malignancies with BCMA- and CD19-directed genetically modified autologous T-cell immunotherapies, including CARVYKTI</w:t>
            </w:r>
            <w:r>
              <w:rPr>
                <w:rStyle w:val="StrongEmphasis"/>
                <w:position w:val="8"/>
                <w:sz w:val="19"/>
              </w:rPr>
              <w:t>®</w:t>
            </w:r>
            <w:r>
              <w:rPr>
                <w:rStyle w:val="StrongEmphasis"/>
              </w:rPr>
              <w:t>.</w:t>
            </w:r>
          </w:p>
        </w:tc>
      </w:tr>
    </w:tbl>
    <w:p>
      <w:pPr>
        <w:pStyle w:val="TextBody"/>
        <w:bidi w:val="0"/>
        <w:jc w:val="both"/>
        <w:rPr/>
      </w:pPr>
      <w:r>
        <w:rPr>
          <w:rStyle w:val="StrongEmphasis"/>
        </w:rPr>
        <w:br/>
        <w:t xml:space="preserve">WARNINGS AND PRECAUTIONS </w:t>
      </w:r>
    </w:p>
    <w:p>
      <w:pPr>
        <w:pStyle w:val="TextBody"/>
        <w:bidi w:val="0"/>
        <w:jc w:val="both"/>
        <w:rPr/>
      </w:pPr>
      <w:r>
        <w:rPr>
          <w:rStyle w:val="StrongEmphasis"/>
        </w:rPr>
        <w:t xml:space="preserve">INCREASED EARLY MORTALITY </w:t>
      </w:r>
      <w:r>
        <w:rPr/>
        <w:t>- In CARTITUDE-4, a (1:1) randomized controlled trial, there was a numerically higher percentage of early deaths in patients randomized to the CARVYKTI</w:t>
      </w:r>
      <w:r>
        <w:rPr>
          <w:position w:val="8"/>
          <w:sz w:val="19"/>
        </w:rPr>
        <w:t>®</w:t>
      </w:r>
      <w:r>
        <w:rPr/>
        <w:t xml:space="preserve"> treatment arm compared to the control arm. Among patients with deaths occurring within the first 10 months from randomization, a greater proportion (29/208; 14%) occurred in the CARVYKTI</w:t>
      </w:r>
      <w:r>
        <w:rPr>
          <w:rStyle w:val="Emphasis"/>
          <w:position w:val="8"/>
          <w:sz w:val="19"/>
        </w:rPr>
        <w:t>®</w:t>
      </w:r>
      <w:r>
        <w:rPr/>
        <w:t xml:space="preserve"> arm compared to (25/211; 12%) in the control arm. Of the 29 deaths that occurred in the CARVYKTI</w:t>
      </w:r>
      <w:r>
        <w:rPr>
          <w:position w:val="8"/>
          <w:sz w:val="19"/>
        </w:rPr>
        <w:t>®</w:t>
      </w:r>
      <w:r>
        <w:rPr/>
        <w:t xml:space="preserve"> arm within the first 10 months of randomization, 10 deaths occurred prior to CARVYKTI</w:t>
      </w:r>
      <w:r>
        <w:rPr>
          <w:position w:val="8"/>
          <w:sz w:val="19"/>
        </w:rPr>
        <w:t>®</w:t>
      </w:r>
      <w:r>
        <w:rPr/>
        <w:t xml:space="preserve"> infusion, and 19 deaths occurred after CARVYKTI</w:t>
      </w:r>
      <w:r>
        <w:rPr>
          <w:position w:val="8"/>
          <w:sz w:val="19"/>
        </w:rPr>
        <w:t xml:space="preserve">® </w:t>
      </w:r>
      <w:r>
        <w:rPr/>
        <w:t>infusion. Of the 10 deaths that occurred prior to CARVYKTI</w:t>
      </w:r>
      <w:r>
        <w:rPr>
          <w:position w:val="8"/>
          <w:sz w:val="19"/>
        </w:rPr>
        <w:t>®</w:t>
      </w:r>
      <w:r>
        <w:rPr/>
        <w:t xml:space="preserve"> infusion, all occurred due to disease progression, and none occurred due to adverse events. Of the 19 deaths that occurred after CARVYKTI</w:t>
      </w:r>
      <w:r>
        <w:rPr>
          <w:position w:val="8"/>
          <w:sz w:val="19"/>
        </w:rPr>
        <w:t>®</w:t>
      </w:r>
      <w:r>
        <w:rPr/>
        <w:t xml:space="preserve"> infusion, 3 occurred due to disease progression, and 16 occurred due to adverse events. The most common adverse events were due to infection (n=12).</w:t>
      </w:r>
    </w:p>
    <w:p>
      <w:pPr>
        <w:pStyle w:val="TextBody"/>
        <w:bidi w:val="0"/>
        <w:jc w:val="both"/>
        <w:rPr/>
      </w:pPr>
      <w:r>
        <w:rPr>
          <w:rStyle w:val="StrongEmphasis"/>
        </w:rPr>
        <w:t>CYTOKINE RELEASE SYNDROME (CRS)</w:t>
      </w:r>
      <w:r>
        <w:rPr/>
        <w:t>, including fatal or life-threatening reactions, occurred following treatment with CARVYKTI</w:t>
      </w:r>
      <w:r>
        <w:rPr>
          <w:position w:val="8"/>
          <w:sz w:val="19"/>
        </w:rPr>
        <w:t>®</w:t>
      </w:r>
      <w:r>
        <w:rPr/>
        <w:t>. Among patients receiving CARVYKTI</w:t>
      </w:r>
      <w:r>
        <w:rPr>
          <w:position w:val="8"/>
          <w:sz w:val="19"/>
        </w:rPr>
        <w:t>®</w:t>
      </w:r>
      <w:r>
        <w:rPr/>
        <w:t xml:space="preserve"> for RRMM in the CARTITUDE-1 &amp; -4 studies (N=285), CRS occurred in 84% (238/285), including ≥ Grade 3 CRS (ASTCT 2019) in 4% (11/285) of patients. Median time to onset of CRS, any grade, was 7 days (range: 1 to 23 days). CRS resolved in 82% with a median duration of 4 days (range: 1 to 97 days). The most common manifestations of CRS in all patients combined (≥10%) included fever (84%), hypotension (29%) and aspartate aminotransferase increased (11%). Serious events that may be associated with CRS include pyrexia, hemophagocytic lymphohistiocytosis, respiratory failure, disseminated intravascular coagulation, capillary leak syndrome, and supraventricular and ventricular tachycardia. CRS occurred in 78% of patients in CARTITUDE-4 (3% Grade 3 to 4) and in 95% of patients in CARTITUDE-1 (4% Grade 3 to 4).</w:t>
      </w:r>
    </w:p>
    <w:p>
      <w:pPr>
        <w:pStyle w:val="TextBody"/>
        <w:bidi w:val="0"/>
        <w:jc w:val="both"/>
        <w:rPr/>
      </w:pPr>
      <w:r>
        <w:rPr/>
        <w:t>Identify CRS based on clinical presentation. Evaluate for and treat other causes of fever, hypoxia, and hypotension. CRS has been reported to be associated with findings of HLH/MAS, and the physiology of the syndromes may overlap. HLH/MAS is a potentially life-threatening condition. In patients with progressive symptoms of CRS or refractory CRS despite treatment, evaluate for evidence of HLH/MAS.</w:t>
      </w:r>
    </w:p>
    <w:p>
      <w:pPr>
        <w:pStyle w:val="TextBody"/>
        <w:bidi w:val="0"/>
        <w:jc w:val="both"/>
        <w:rPr/>
      </w:pPr>
      <w:r>
        <w:rPr/>
        <w:t>Confirm that a minimum of 2 doses of tocilizumab are available prior to infusion of CARVYKTI</w:t>
      </w:r>
      <w:r>
        <w:rPr>
          <w:position w:val="8"/>
          <w:sz w:val="19"/>
        </w:rPr>
        <w:t>®</w:t>
      </w:r>
      <w:r>
        <w:rPr/>
        <w:t>.</w:t>
      </w:r>
    </w:p>
    <w:p>
      <w:pPr>
        <w:pStyle w:val="TextBody"/>
        <w:bidi w:val="0"/>
        <w:jc w:val="both"/>
        <w:rPr/>
      </w:pPr>
      <w:r>
        <w:rPr/>
        <w:t>Of the 285 patients who received CARVYKTI</w:t>
      </w:r>
      <w:r>
        <w:rPr>
          <w:position w:val="8"/>
          <w:sz w:val="19"/>
        </w:rPr>
        <w:t>®</w:t>
      </w:r>
      <w:r>
        <w:rPr/>
        <w:t xml:space="preserve"> in clinical trials, 53% (150/285) patients received tocilizumab; 35% (100/285) received a single dose, while 18% (50/285) received more than 1 dose of tocilizumab. Overall, 14% (39/285) of patients received at least 1 dose of corticosteroids for treatment of CRS.</w:t>
      </w:r>
    </w:p>
    <w:p>
      <w:pPr>
        <w:pStyle w:val="TextBody"/>
        <w:bidi w:val="0"/>
        <w:jc w:val="both"/>
        <w:rPr/>
      </w:pPr>
      <w:r>
        <w:rPr/>
        <w:t>Monitor patients at least daily for 7 days following CARVYKTI</w:t>
      </w:r>
      <w:r>
        <w:rPr>
          <w:position w:val="8"/>
          <w:sz w:val="19"/>
        </w:rPr>
        <w:t>®</w:t>
      </w:r>
      <w:r>
        <w:rPr/>
        <w:t xml:space="preserve"> infusion for signs and symptoms of CRS. Monitor patients for signs or symptoms of CRS for at least 2 weeks after infusion. At the first sign of CRS, immediately institute treatment with supportive care, tocilizumab, or tocilizumab and corticosteroids</w:t>
      </w:r>
      <w:r>
        <w:rPr>
          <w:rStyle w:val="StrongEmphasis"/>
        </w:rPr>
        <w:t>.</w:t>
      </w:r>
    </w:p>
    <w:p>
      <w:pPr>
        <w:pStyle w:val="TextBody"/>
        <w:bidi w:val="0"/>
        <w:jc w:val="both"/>
        <w:rPr/>
      </w:pPr>
      <w:r>
        <w:rPr/>
        <w:t>Counsel patients to seek immediate medical attention should signs or symptoms of CRS occur at any time.</w:t>
      </w:r>
    </w:p>
    <w:p>
      <w:pPr>
        <w:pStyle w:val="TextBody"/>
        <w:bidi w:val="0"/>
        <w:jc w:val="both"/>
        <w:rPr/>
      </w:pPr>
      <w:r>
        <w:rPr>
          <w:rStyle w:val="StrongEmphasis"/>
        </w:rPr>
        <w:t>NEUROLOGIC TOXICITIES</w:t>
      </w:r>
      <w:r>
        <w:rPr/>
        <w:t>, which may be severe, life-threatening, or fatal, occurred following treatment with CARVYKTI</w:t>
      </w:r>
      <w:r>
        <w:rPr>
          <w:position w:val="8"/>
          <w:sz w:val="19"/>
        </w:rPr>
        <w:t>®</w:t>
      </w:r>
      <w:r>
        <w:rPr/>
        <w:t>. Neurologic toxicities included ICANS, neurologic toxicity with signs and symptoms of Parkinsonism, GBS, immune mediated myelitis, peripheral neuropathies, and cranial nerve palsies. Counsel patients on the signs and symptoms of these neurologic toxicities, and on the delayed nature of onset of some of these toxicities. Instruct patients to seek immediate medical attention for further assessment and management if signs or symptoms of any of these neurologic toxicities occur at any time.</w:t>
      </w:r>
    </w:p>
    <w:p>
      <w:pPr>
        <w:pStyle w:val="TextBody"/>
        <w:bidi w:val="0"/>
        <w:jc w:val="both"/>
        <w:rPr/>
      </w:pPr>
      <w:r>
        <w:rPr/>
        <w:t>Among patients receiving CARVYKTI</w:t>
      </w:r>
      <w:r>
        <w:rPr>
          <w:position w:val="8"/>
          <w:sz w:val="19"/>
        </w:rPr>
        <w:t>®</w:t>
      </w:r>
      <w:r>
        <w:rPr/>
        <w:t xml:space="preserve"> in the CARTITUDE-1 &amp; 4 studies for RRMM, one or more neurologic toxicities occurred in 24% (69/285), including ≥ Grade 3 cases in 7% (19/285) of patients. Median time to onset was 10 days (range: 1 to 101) with 63/69 (91%) of cases developing by 30 days. Neurologic toxicities resolved in 72% (50/69) of patients with a median duration to resolution of 23 days (range: 1 to 544). Of patients developing neurotoxicity, 96% (66/69) also developed CRS. Subtypes of neurologic toxicities included ICANS in 13%, peripheral neuropathy in 7%, cranial nerve palsy in 7%, parkinsonism in 3%, and immune mediated myelitis in 0.4% of the patients.</w:t>
      </w:r>
    </w:p>
    <w:p>
      <w:pPr>
        <w:pStyle w:val="TextBody"/>
        <w:bidi w:val="0"/>
        <w:jc w:val="both"/>
        <w:rPr/>
      </w:pPr>
      <w:r>
        <w:rPr>
          <w:u w:val="single"/>
        </w:rPr>
        <w:t>Immune Effector Cell-Associated Neurotoxicity Syndrome (ICANS):</w:t>
      </w:r>
      <w:r>
        <w:rPr/>
        <w:t xml:space="preserve"> Patients receiving CARVYKTI</w:t>
      </w:r>
      <w:r>
        <w:rPr>
          <w:position w:val="8"/>
          <w:sz w:val="19"/>
        </w:rPr>
        <w:t>®</w:t>
      </w:r>
      <w:r>
        <w:rPr/>
        <w:t xml:space="preserve"> may experience fatal or life-threatening ICANS following treatment with CARVYKTI®, including before CRS onset, concurrently with CRS, after CRS resolution, or in the absence of CRS.</w:t>
      </w:r>
    </w:p>
    <w:p>
      <w:pPr>
        <w:pStyle w:val="TextBody"/>
        <w:bidi w:val="0"/>
        <w:jc w:val="both"/>
        <w:rPr/>
      </w:pPr>
      <w:r>
        <w:rPr/>
        <w:t>Among patients receiving CARVYKTI</w:t>
      </w:r>
      <w:r>
        <w:rPr>
          <w:position w:val="8"/>
          <w:sz w:val="19"/>
        </w:rPr>
        <w:t>®</w:t>
      </w:r>
      <w:r>
        <w:rPr/>
        <w:t xml:space="preserve"> in the CARTITUDE-1 &amp; -4 studies, ICANS occurred in 13% (36/285), including Grade ≥3 in 2% (6/285) of the patients. Median time to onset of ICANS was 8 days (range: 1 to 28 days). ICANS resolved in 30 of 36 (83%) of patients, with a median time to resolution of 3 days (range: 1 to 143 days). Median duration of ICANS was 6 days (range: 1 to 1229 days) in all patients, including those with ongoing neurologic events at the time of death or data cutoff. Of patients with ICANS, 97% (35/36) had CRS. The onset of ICANS occurred during CRS in 69% of patients, before and after the onset of CRS in 14% of patients, respectively. </w:t>
        <w:br/>
        <w:t>Immune Effector Cell-associated Neurotoxicity Syndrome occurred in 7% of patients in CARTITUDE-4 (0.5% Grade 3) and in 23% of patients in CARTITUDE-1 (3% Grade 3). The most frequent (≥2%) manifestations of ICANS included encephalopathy (12%), aphasia (4%), headache (3%), motor dysfunction (3%), ataxia (2%), and sleep disorder (2%).</w:t>
      </w:r>
    </w:p>
    <w:p>
      <w:pPr>
        <w:pStyle w:val="TextBody"/>
        <w:bidi w:val="0"/>
        <w:jc w:val="both"/>
        <w:rPr/>
      </w:pPr>
      <w:r>
        <w:rPr/>
        <w:t>Monitor patients at least daily for 7 days following CARVYKTI</w:t>
      </w:r>
      <w:r>
        <w:rPr>
          <w:position w:val="8"/>
          <w:sz w:val="19"/>
        </w:rPr>
        <w:t>®</w:t>
      </w:r>
      <w:r>
        <w:rPr/>
        <w:t xml:space="preserve"> infusion for signs and symptoms of ICANS. Rule out other causes of ICANS symptoms. Monitor patients for signs or symptoms of ICANS for at least 2 weeks after infusion and treat promptly. Neurologic toxicity should be managed with supportive care and/or corticosteroids as needed. Advise patients to avoid driving for at least 2 weeks following infusion.</w:t>
      </w:r>
    </w:p>
    <w:p>
      <w:pPr>
        <w:pStyle w:val="TextBody"/>
        <w:bidi w:val="0"/>
        <w:jc w:val="both"/>
        <w:rPr/>
      </w:pPr>
      <w:r>
        <w:rPr>
          <w:u w:val="single"/>
        </w:rPr>
        <w:t>Parkinsonism:</w:t>
      </w:r>
      <w:r>
        <w:rPr/>
        <w:t xml:space="preserve"> Neurologic toxicity with parkinsonism has been reported in clinical trials of CARVYKTI</w:t>
      </w:r>
      <w:r>
        <w:rPr>
          <w:position w:val="8"/>
          <w:sz w:val="19"/>
        </w:rPr>
        <w:t>®</w:t>
      </w:r>
      <w:r>
        <w:rPr/>
        <w:t>. Among patients receiving CARVYKTI</w:t>
      </w:r>
      <w:r>
        <w:rPr>
          <w:position w:val="8"/>
          <w:sz w:val="19"/>
        </w:rPr>
        <w:t>®</w:t>
      </w:r>
      <w:r>
        <w:rPr/>
        <w:t xml:space="preserve"> in the CARTITUDE-1 &amp; -4 studies, parkinsonism occurred in 3% (8/285), including Grade ≥3 in 2% (5/285) of the patients. Median time to onset of parkinsonism was 56 days (range: 14 to 914 days). Parkinsonism resolved in 1 of 8 (13%) of patients with a median time to resolution of 523 days. Median duration of parkinsonism was 243.5 days (range: 62 to 720 days) in all patients, including those with ongoing neurologic events at the time of death or data cutoff. The onset of parkinsonism occurred after CRS for all patients and after ICANS for 6 patients.</w:t>
      </w:r>
    </w:p>
    <w:p>
      <w:pPr>
        <w:pStyle w:val="TextBody"/>
        <w:bidi w:val="0"/>
        <w:jc w:val="both"/>
        <w:rPr/>
      </w:pPr>
      <w:r>
        <w:rPr/>
        <w:t>Parkinsonism occurred in 1% of patients in CARTITUDE-4 (no Grade 3 to 4) and in 6% of patients in CARTITUDE-1 (4% Grade 3 to 4).</w:t>
      </w:r>
    </w:p>
    <w:p>
      <w:pPr>
        <w:pStyle w:val="TextBody"/>
        <w:bidi w:val="0"/>
        <w:jc w:val="both"/>
        <w:rPr/>
      </w:pPr>
      <w:r>
        <w:rPr/>
        <w:t>Manifestations of parkinsonism included movement disorders, cognitive impairment, and personality changes. Monitor patients for signs and symptoms of parkinsonism that may be delayed in onset and managed with supportive care measures. There is limited efficacy information with medications used for the treatment of Parkinson’s disease for the improvement or resolution of parkinsonism symptoms following CARVYKTI</w:t>
      </w:r>
      <w:r>
        <w:rPr>
          <w:position w:val="8"/>
          <w:sz w:val="19"/>
        </w:rPr>
        <w:t>®</w:t>
      </w:r>
      <w:r>
        <w:rPr/>
        <w:t xml:space="preserve"> treatment.</w:t>
      </w:r>
    </w:p>
    <w:p>
      <w:pPr>
        <w:pStyle w:val="TextBody"/>
        <w:bidi w:val="0"/>
        <w:jc w:val="both"/>
        <w:rPr/>
      </w:pPr>
      <w:r>
        <w:rPr>
          <w:u w:val="single"/>
        </w:rPr>
        <w:t>Guillain-Barré Syndrome:</w:t>
      </w:r>
      <w:r>
        <w:rPr/>
        <w:t xml:space="preserve"> A fatal outcome following GBS occurred following treatment with CARVYKTI</w:t>
      </w:r>
      <w:r>
        <w:rPr>
          <w:position w:val="8"/>
          <w:sz w:val="19"/>
        </w:rPr>
        <w:t>®</w:t>
      </w:r>
      <w:r>
        <w:rPr/>
        <w:t xml:space="preserve"> despite treatment with intravenous immunoglobulins. Symptoms reported include those consistent with Miller-Fisher variant of GBS, encephalopathy, motor weakness, speech disturbances, and polyradiculoneuritis.</w:t>
      </w:r>
    </w:p>
    <w:p>
      <w:pPr>
        <w:pStyle w:val="TextBody"/>
        <w:bidi w:val="0"/>
        <w:jc w:val="both"/>
        <w:rPr/>
      </w:pPr>
      <w:r>
        <w:rPr/>
        <w:t>Monitor for GBS. Evaluate patients presenting with peripheral neuropathy for GBS. Consider treatment of GBS with supportive care measures and in conjunction with immunoglobulins and plasma exchange, depending on severity of GBS.</w:t>
      </w:r>
    </w:p>
    <w:p>
      <w:pPr>
        <w:pStyle w:val="TextBody"/>
        <w:bidi w:val="0"/>
        <w:jc w:val="both"/>
        <w:rPr/>
      </w:pPr>
      <w:r>
        <w:rPr>
          <w:u w:val="single"/>
        </w:rPr>
        <w:t>Immune Mediated Myelitis</w:t>
      </w:r>
      <w:r>
        <w:rPr/>
        <w:t>: Grade 3 myelitis occurred 25 days following treatment with CARVYKTI® in CARTITUDE-4 in a patient who received CARVYKTI</w:t>
      </w:r>
      <w:r>
        <w:rPr>
          <w:position w:val="8"/>
          <w:sz w:val="19"/>
        </w:rPr>
        <w:t>®</w:t>
      </w:r>
      <w:r>
        <w:rPr/>
        <w:t xml:space="preserve"> as subsequent therapy. Symptoms reported included hypoesthesia of the lower extremities and the lower abdomen with impaired sphincter control. Symptoms improved with the use of corticosteroids and intravenous immune globulin. Myelitis was ongoing at the time of death from other cause.</w:t>
      </w:r>
    </w:p>
    <w:p>
      <w:pPr>
        <w:pStyle w:val="TextBody"/>
        <w:bidi w:val="0"/>
        <w:jc w:val="both"/>
        <w:rPr/>
      </w:pPr>
      <w:r>
        <w:rPr>
          <w:u w:val="single"/>
        </w:rPr>
        <w:t>Peripheral Neuropathy</w:t>
      </w:r>
      <w:r>
        <w:rPr/>
        <w:t xml:space="preserve"> occurred following treatment with CARVYKTI</w:t>
      </w:r>
      <w:r>
        <w:rPr>
          <w:position w:val="8"/>
          <w:sz w:val="19"/>
        </w:rPr>
        <w:t>®</w:t>
      </w:r>
      <w:r>
        <w:rPr/>
        <w:t>. Among patients receiving CARVYKTI</w:t>
      </w:r>
      <w:r>
        <w:rPr>
          <w:position w:val="8"/>
          <w:sz w:val="19"/>
        </w:rPr>
        <w:t>®</w:t>
      </w:r>
      <w:r>
        <w:rPr/>
        <w:t xml:space="preserve"> in the CARTITUDE-1 &amp; -4 studies, peripheral neuropathy occurred in 7% (21/285), including Grade ≥3 in 1% (3/285) of the patients. Median time to onset of peripheral neuropathy was 57 days (range: 1 to 914 days). Peripheral neuropathy resolved in 11 of 21 (52%) of patients with a median time to resolution of 58 days (range: 1 to 215 days). Median duration of peripheral neuropathy was 149.5 days (range: 1 to 692 days) in all patients, including those with ongoing neurologic events at the time of death or data cutoff.</w:t>
      </w:r>
    </w:p>
    <w:p>
      <w:pPr>
        <w:pStyle w:val="TextBody"/>
        <w:bidi w:val="0"/>
        <w:jc w:val="both"/>
        <w:rPr/>
      </w:pPr>
      <w:r>
        <w:rPr/>
        <w:t>Peripheral neuropathies occurred in 7% of patients in CARTITUDE-4 (0.5% Grade 3 to 4) and in 7% of patients in CARTITUDE-1 (2% Grade 3 to 4). Monitor patients for signs and symptoms of peripheral neuropathies. Patients who experience peripheral neuropathy may also experience cranial nerve palsies or GBS.</w:t>
      </w:r>
    </w:p>
    <w:p>
      <w:pPr>
        <w:pStyle w:val="TextBody"/>
        <w:bidi w:val="0"/>
        <w:jc w:val="both"/>
        <w:rPr/>
      </w:pPr>
      <w:r>
        <w:rPr>
          <w:u w:val="single"/>
        </w:rPr>
        <w:t>Cranial Nerve Palsies</w:t>
      </w:r>
      <w:r>
        <w:rPr/>
        <w:t xml:space="preserve"> occurred following treatment with CARVYKTI</w:t>
      </w:r>
      <w:r>
        <w:rPr>
          <w:position w:val="8"/>
          <w:sz w:val="19"/>
        </w:rPr>
        <w:t>®</w:t>
      </w:r>
      <w:r>
        <w:rPr/>
        <w:t>. Among patients receiving CARVYKTI</w:t>
      </w:r>
      <w:r>
        <w:rPr>
          <w:position w:val="8"/>
          <w:sz w:val="19"/>
        </w:rPr>
        <w:t>®</w:t>
      </w:r>
      <w:r>
        <w:rPr/>
        <w:t xml:space="preserve"> in the CARTITUDE-1 &amp; -4 studies, cranial nerve palsies occurred in 7% (19/285), including Grade ≥3 in 1% (1/285) of the patients. Median time to onset of cranial nerve palsies was 21 days (range: 17 to 101 days). Cranial nerve palsies resolved in 17 of 19 (89%) of patients with a median time to resolution of 66 days (range: 1 to 209 days). Median duration of cranial nerve palsies was 70 days (range: 1 to 262 days) in all patients, including those with ongoing neurologic events at the time of death or data cutoff. Cranial nerve palsies occurred in 9% of patients in CARTITUDE-4 (1% Grade 3 to 4) and in 3% of patients in CARTITUDE-1 (1% Grade 3 to 4).</w:t>
      </w:r>
    </w:p>
    <w:p>
      <w:pPr>
        <w:pStyle w:val="TextBody"/>
        <w:bidi w:val="0"/>
        <w:jc w:val="both"/>
        <w:rPr/>
      </w:pPr>
      <w:r>
        <w:rPr/>
        <w:t>The most frequent cranial nerve affected was the 7th cranial nerve. Additionally, cranial nerves III, V, and VI have been reported to be affected.</w:t>
      </w:r>
    </w:p>
    <w:p>
      <w:pPr>
        <w:pStyle w:val="TextBody"/>
        <w:bidi w:val="0"/>
        <w:jc w:val="both"/>
        <w:rPr/>
      </w:pPr>
      <w:r>
        <w:rPr/>
        <w:t>Monitor patients for signs and symptoms of cranial nerve palsies. Consider management with systemic corticosteroids, depending on the severity and progression of signs and symptoms.</w:t>
      </w:r>
    </w:p>
    <w:p>
      <w:pPr>
        <w:pStyle w:val="TextBody"/>
        <w:bidi w:val="0"/>
        <w:jc w:val="both"/>
        <w:rPr/>
      </w:pPr>
      <w:r>
        <w:rPr>
          <w:rStyle w:val="StrongEmphasis"/>
        </w:rPr>
        <w:t>HEMOPHAGOCYTIC LYMPHOHISTIOCYTOSIS (HLH)/MACROPHAGE ACTIVATION SYNDROME (MAS)</w:t>
      </w:r>
      <w:r>
        <w:rPr/>
        <w:t>: Among patients receiving CARVYKTI</w:t>
      </w:r>
      <w:r>
        <w:rPr>
          <w:position w:val="8"/>
          <w:sz w:val="19"/>
        </w:rPr>
        <w:t>®</w:t>
      </w:r>
      <w:r>
        <w:rPr/>
        <w:t xml:space="preserve"> in the CARTITUDE-1 &amp; -4 studies, HLH/MAS occurred in 1% (3/285) of patients. All events of HLH/MAS had onset within 99 days of receiving CARVYKTI</w:t>
      </w:r>
      <w:r>
        <w:rPr>
          <w:position w:val="8"/>
          <w:sz w:val="19"/>
        </w:rPr>
        <w:t>®</w:t>
      </w:r>
      <w:r>
        <w:rPr/>
        <w:t>, with a median onset of 10 days (range: 8 to 99 days), and all occurred in the setting of ongoing or worsening CRS. The manifestations of HLH/MAS included hyperferritinemia, hypotension, hypoxia with diffuse alveolar damage, coagulopathy and hemorrhage, cytopenia, and multi-organ dysfunction, including renal dysfunction and respiratory failure.</w:t>
      </w:r>
    </w:p>
    <w:p>
      <w:pPr>
        <w:pStyle w:val="TextBody"/>
        <w:bidi w:val="0"/>
        <w:jc w:val="both"/>
        <w:rPr/>
      </w:pPr>
      <w:r>
        <w:rPr/>
        <w:t>Patients who develop HLH/MAS have an increased risk of severe bleeding. Monitor hematologic parameters in patients with HLH/MAS and transfuse per institutional guidelines. Fatal cases of HLH/MAS occurred following treatment with CARVYKTI</w:t>
      </w:r>
      <w:r>
        <w:rPr>
          <w:position w:val="8"/>
          <w:sz w:val="19"/>
        </w:rPr>
        <w:t>®</w:t>
      </w:r>
      <w:r>
        <w:rPr/>
        <w:t>.</w:t>
      </w:r>
    </w:p>
    <w:p>
      <w:pPr>
        <w:pStyle w:val="TextBody"/>
        <w:bidi w:val="0"/>
        <w:jc w:val="both"/>
        <w:rPr/>
      </w:pPr>
      <w:r>
        <w:rPr/>
        <w:t>HLH is a life-threatening condition with a high mortality rate if not recognized and treated early. Treatment of HLH/MAS should be administered per institutional standards.</w:t>
        <w:br/>
        <w:br/>
      </w:r>
      <w:r>
        <w:rPr>
          <w:rStyle w:val="StrongEmphasis"/>
        </w:rPr>
        <w:t>PROLONGED AND RECURRENT CYTOPENIAS</w:t>
      </w:r>
      <w:r>
        <w:rPr/>
        <w:t>: Patients may exhibit prolonged and recurrent cytopenias following lymphodepleting chemotherapy and CARVYKTI® infusion.</w:t>
      </w:r>
    </w:p>
    <w:p>
      <w:pPr>
        <w:pStyle w:val="TextBody"/>
        <w:bidi w:val="0"/>
        <w:jc w:val="both"/>
        <w:rPr/>
      </w:pPr>
      <w:r>
        <w:rPr/>
        <w:t>Among patients receiving CARVYKTI</w:t>
      </w:r>
      <w:r>
        <w:rPr>
          <w:position w:val="8"/>
          <w:sz w:val="19"/>
        </w:rPr>
        <w:t>®</w:t>
      </w:r>
      <w:r>
        <w:rPr/>
        <w:t xml:space="preserve"> in the CARTITUDE-1 &amp; -4 studies, Grade 3 or higher cytopenias not resolved by Day 30 following CARVYKTI</w:t>
      </w:r>
      <w:r>
        <w:rPr>
          <w:position w:val="8"/>
          <w:sz w:val="19"/>
        </w:rPr>
        <w:t xml:space="preserve">® </w:t>
      </w:r>
      <w:r>
        <w:rPr/>
        <w:t>infusion occurred in 62% (176/285) of the patients and included thrombocytopenia 33% (94/285), neutropenia 27% (76/285), lymphopenia 24% (67/285), and anemia 2% (6/285). After Day 60 following CARVYKTI</w:t>
      </w:r>
      <w:r>
        <w:rPr>
          <w:position w:val="8"/>
          <w:sz w:val="19"/>
        </w:rPr>
        <w:t>®</w:t>
      </w:r>
      <w:r>
        <w:rPr/>
        <w:t xml:space="preserve"> infusion, 22%, 20%, 5%, and 6% of patients had a recurrence of Grade 3 or 4 lymphopenia, neutropenia, thrombocytopenia, and anemia, respectively, after initial recovery of their Grade 3 or 4 cytopenia. Seventy-seven percent (219/285) of patients had one, two, or three or more recurrences of Grade 3 or 4 cytopenias after initial recovery of Grade 3 or 4 cytopenia. Sixteen and 25 patients had Grade 3 or 4 neutropenia and thrombocytopenia, respectively, at the time of death.</w:t>
      </w:r>
    </w:p>
    <w:p>
      <w:pPr>
        <w:pStyle w:val="TextBody"/>
        <w:bidi w:val="0"/>
        <w:jc w:val="both"/>
        <w:rPr/>
      </w:pPr>
      <w:r>
        <w:rPr/>
        <w:t>Monitor blood counts prior to and after CARVYKTI</w:t>
      </w:r>
      <w:r>
        <w:rPr>
          <w:position w:val="8"/>
          <w:sz w:val="19"/>
        </w:rPr>
        <w:t>®</w:t>
      </w:r>
      <w:r>
        <w:rPr/>
        <w:t xml:space="preserve"> infusion. Manage cytopenias with growth factors and blood product transfusion support according to local institutional guidelines.</w:t>
      </w:r>
    </w:p>
    <w:p>
      <w:pPr>
        <w:pStyle w:val="TextBody"/>
        <w:bidi w:val="0"/>
        <w:jc w:val="both"/>
        <w:rPr/>
      </w:pPr>
      <w:r>
        <w:rPr>
          <w:rStyle w:val="StrongEmphasis"/>
        </w:rPr>
        <w:t>INFECTIONS</w:t>
      </w:r>
      <w:r>
        <w:rPr/>
        <w:t>: CARVYKTI</w:t>
      </w:r>
      <w:r>
        <w:rPr>
          <w:position w:val="8"/>
          <w:sz w:val="19"/>
        </w:rPr>
        <w:t>®</w:t>
      </w:r>
      <w:r>
        <w:rPr/>
        <w:t xml:space="preserve"> should not be administered to patients with active infection or inflammatory disorders. Severe, life-threatening, or fatal infections occurred in patients after CARVYKTI</w:t>
      </w:r>
      <w:r>
        <w:rPr>
          <w:position w:val="8"/>
          <w:sz w:val="19"/>
        </w:rPr>
        <w:t>®</w:t>
      </w:r>
      <w:r>
        <w:rPr/>
        <w:t xml:space="preserve"> infusion.</w:t>
      </w:r>
    </w:p>
    <w:p>
      <w:pPr>
        <w:pStyle w:val="TextBody"/>
        <w:bidi w:val="0"/>
        <w:jc w:val="both"/>
        <w:rPr/>
      </w:pPr>
      <w:r>
        <w:rPr/>
        <w:t>Among patients receiving CARVYKTI</w:t>
      </w:r>
      <w:r>
        <w:rPr>
          <w:position w:val="8"/>
          <w:sz w:val="19"/>
        </w:rPr>
        <w:t>®</w:t>
      </w:r>
      <w:r>
        <w:rPr/>
        <w:t xml:space="preserve"> in the CARTITUDE-1 &amp; -4 studies, infections occurred in 57% (163/285), including Grade ≥3 in 24% (69/285) of patients. Grade 3 or 4 infections with an unspecified pathogen occurred in 12%, viral infections in 6%, bacterial infections in 5%, and fungal infections in 1% of patients. Overall, 5% (13/285) of patients had Grade 5 infections, 2.5% of which were due to COVID-19. Patients treated with CARVYKTI® had an increased rate of fatal COVID-19 infections compared to the standard therapy arm.</w:t>
      </w:r>
    </w:p>
    <w:p>
      <w:pPr>
        <w:pStyle w:val="TextBody"/>
        <w:bidi w:val="0"/>
        <w:jc w:val="both"/>
        <w:rPr/>
      </w:pPr>
      <w:r>
        <w:rPr/>
        <w:t>Monitor patients for signs and symptoms of infection before and after CARVYKTI</w:t>
      </w:r>
      <w:r>
        <w:rPr>
          <w:position w:val="8"/>
          <w:sz w:val="19"/>
        </w:rPr>
        <w:t>®</w:t>
      </w:r>
      <w:r>
        <w:rPr/>
        <w:t xml:space="preserve"> infusion and treat patients appropriately. Administer prophylactic, pre-emptive, and/or therapeutic antimicrobials according to the standard institutional guidelines. Febrile neutropenia was observed in 5% of patients after CARVYKTI® infusion and may be concurrent with CRS. In the event of febrile neutropenia, evaluate for infection and manage with broad-spectrum antibiotics, fluids, and other supportive care, as medically indicated. Counsel patients on the importance of prevention measures. Follow institutional guidelines for the vaccination and management of immunocompromised patients with COVID-19.</w:t>
      </w:r>
    </w:p>
    <w:p>
      <w:pPr>
        <w:pStyle w:val="TextBody"/>
        <w:bidi w:val="0"/>
        <w:jc w:val="both"/>
        <w:rPr/>
      </w:pPr>
      <w:r>
        <w:rPr>
          <w:u w:val="single"/>
        </w:rPr>
        <w:t>Viral Reactivation</w:t>
      </w:r>
      <w:r>
        <w:rPr/>
        <w:t>: Hepatitis B virus (HBV) reactivation, in some cases resulting in fulminant hepatitis, hepatic failure, and death, can occur in patients with hypogammaglobulinemia. Perform screening for Cytomegalovirus (CMV), HBV, hepatitis C virus (HCV), and human immunodeficiency virus (HIV) or any other infectious agents if clinically indicated in accordance with clinical guidelines before collection of cells for manufacturing. Consider antiviral therapy to prevent viral reactivation per local institutional guidelines/clinical practice.</w:t>
      </w:r>
    </w:p>
    <w:p>
      <w:pPr>
        <w:pStyle w:val="TextBody"/>
        <w:bidi w:val="0"/>
        <w:jc w:val="both"/>
        <w:rPr/>
      </w:pPr>
      <w:r>
        <w:rPr/>
        <w:t>Reactivation of John Cunningham (JC) virus, leading to progressive multifocal leukoencephalopathy (PML), including cases with fatal outcomes, have been reported following treatment. Perform appropriate diagnostic evaluations in patients with neurological adverse events.</w:t>
      </w:r>
    </w:p>
    <w:p>
      <w:pPr>
        <w:pStyle w:val="TextBody"/>
        <w:bidi w:val="0"/>
        <w:jc w:val="both"/>
        <w:rPr/>
      </w:pPr>
      <w:r>
        <w:rPr>
          <w:rStyle w:val="StrongEmphasis"/>
        </w:rPr>
        <w:t>HYPOGAMMAGLOBULINEMIA</w:t>
      </w:r>
      <w:r>
        <w:rPr/>
        <w:t>: can occur in patients receiving treatment with CARVYKTI</w:t>
      </w:r>
      <w:r>
        <w:rPr>
          <w:position w:val="8"/>
          <w:sz w:val="19"/>
        </w:rPr>
        <w:t>®</w:t>
      </w:r>
      <w:r>
        <w:rPr/>
        <w:t>. Among patients receiving CARVYKTI</w:t>
      </w:r>
      <w:r>
        <w:rPr>
          <w:position w:val="8"/>
          <w:sz w:val="19"/>
        </w:rPr>
        <w:t>®</w:t>
      </w:r>
      <w:r>
        <w:rPr/>
        <w:t xml:space="preserve"> in the CARTITUDE-1 &amp; -4 studies, hypogammaglobulinemia adverse event was reported in 36% (102/285) of patients; laboratory IgG levels fell below 500 mg/dL after infusion in 93% (265/285) of patients. Hypogammaglobulinemia either as an adverse reaction or laboratory IgG level below 500 mg/dL after infusion occurred in 94% (267/285) of patients treated. Fifty-six percent (161/285) of patients received intravenous immunoglobulin (IVIG) post CARVYKTI® for either an adverse reaction or prophylaxis.</w:t>
      </w:r>
    </w:p>
    <w:p>
      <w:pPr>
        <w:pStyle w:val="TextBody"/>
        <w:bidi w:val="0"/>
        <w:jc w:val="both"/>
        <w:rPr/>
      </w:pPr>
      <w:r>
        <w:rPr/>
        <w:t>Monitor immunoglobulin levels after treatment with CARVYKTI</w:t>
      </w:r>
      <w:r>
        <w:rPr>
          <w:position w:val="8"/>
          <w:sz w:val="19"/>
        </w:rPr>
        <w:t>®</w:t>
      </w:r>
      <w:r>
        <w:rPr/>
        <w:t xml:space="preserve"> and administer IVIG for IgG &lt;400 mg/dL. Manage per local institutional guidelines, including infection precautions and antibiotic or antiviral prophylaxis.</w:t>
      </w:r>
    </w:p>
    <w:p>
      <w:pPr>
        <w:pStyle w:val="TextBody"/>
        <w:bidi w:val="0"/>
        <w:jc w:val="both"/>
        <w:rPr/>
      </w:pPr>
      <w:r>
        <w:rPr>
          <w:u w:val="single"/>
        </w:rPr>
        <w:t>Use of Live Vaccines</w:t>
      </w:r>
      <w:r>
        <w:rPr/>
        <w:t>: The safety of immunization with live viral vaccines during or following CARVYKTI</w:t>
      </w:r>
      <w:r>
        <w:rPr>
          <w:position w:val="8"/>
          <w:sz w:val="19"/>
        </w:rPr>
        <w:t>®</w:t>
      </w:r>
      <w:r>
        <w:rPr/>
        <w:t xml:space="preserve"> treatment has not been studied. Vaccination with live virus vaccines is not recommended for at least 6 weeks prior to the start of lymphodepleting chemotherapy, during CARVYKTI</w:t>
      </w:r>
      <w:r>
        <w:rPr>
          <w:position w:val="8"/>
          <w:sz w:val="19"/>
        </w:rPr>
        <w:t>®</w:t>
      </w:r>
      <w:r>
        <w:rPr/>
        <w:t xml:space="preserve"> treatment, and until immune recovery following treatment with CARVYKTI</w:t>
      </w:r>
      <w:r>
        <w:rPr>
          <w:position w:val="8"/>
          <w:sz w:val="19"/>
        </w:rPr>
        <w:t>®</w:t>
      </w:r>
      <w:r>
        <w:rPr/>
        <w:t>.</w:t>
      </w:r>
    </w:p>
    <w:p>
      <w:pPr>
        <w:pStyle w:val="TextBody"/>
        <w:bidi w:val="0"/>
        <w:jc w:val="both"/>
        <w:rPr/>
      </w:pPr>
      <w:r>
        <w:rPr>
          <w:rStyle w:val="StrongEmphasis"/>
        </w:rPr>
        <w:t>HYPERSENSITIVITY REACTIONS</w:t>
      </w:r>
      <w:r>
        <w:rPr/>
        <w:t xml:space="preserve"> occurred following treatment with CARVYKTI</w:t>
      </w:r>
      <w:r>
        <w:rPr>
          <w:position w:val="8"/>
          <w:sz w:val="19"/>
        </w:rPr>
        <w:t>®</w:t>
      </w:r>
      <w:r>
        <w:rPr/>
        <w:t>. Among patients receiving CARVYKTI</w:t>
      </w:r>
      <w:r>
        <w:rPr>
          <w:position w:val="8"/>
          <w:sz w:val="19"/>
        </w:rPr>
        <w:t>®</w:t>
      </w:r>
      <w:r>
        <w:rPr/>
        <w:t xml:space="preserve"> in the CARTITUDE-1 &amp; -4 studies, hypersensitivity reactions occurred in 5% (13/285), all of which were ≤2 Grade. Manifestations of hypersensitivity reactions included flushing, chest discomfort, tachycardia, wheezing, tremor, burning sensation, non-cardiac chest pain, and pyrexia.</w:t>
      </w:r>
    </w:p>
    <w:p>
      <w:pPr>
        <w:pStyle w:val="TextBody"/>
        <w:bidi w:val="0"/>
        <w:jc w:val="both"/>
        <w:rPr/>
      </w:pPr>
      <w:r>
        <w:rPr/>
        <w:t>Serious hypersensitivity reactions, including anaphylaxis, may be due to the dimethyl sulfoxide (DMSO) in CARVYKTI</w:t>
      </w:r>
      <w:r>
        <w:rPr>
          <w:position w:val="8"/>
          <w:sz w:val="19"/>
        </w:rPr>
        <w:t>®</w:t>
      </w:r>
      <w:r>
        <w:rPr/>
        <w:t>. Patients should be carefully monitored for 2 hours after infusion for signs and symptoms of severe reaction. Treat promptly and manage patients appropriately according to the severity of the hypersensitivity reaction.</w:t>
      </w:r>
    </w:p>
    <w:p>
      <w:pPr>
        <w:pStyle w:val="TextBody"/>
        <w:bidi w:val="0"/>
        <w:jc w:val="both"/>
        <w:rPr/>
      </w:pPr>
      <w:r>
        <w:rPr>
          <w:rStyle w:val="StrongEmphasis"/>
        </w:rPr>
        <w:t xml:space="preserve">IMMUNE EFFECTOR CELL-ASSOCIATED ENTERCOLITIS (IEC-EC) </w:t>
      </w:r>
      <w:r>
        <w:rPr/>
        <w:t>has occurred in patients treated with CARVYKTI</w:t>
      </w:r>
      <w:r>
        <w:rPr>
          <w:position w:val="8"/>
          <w:sz w:val="19"/>
        </w:rPr>
        <w:t>®</w:t>
      </w:r>
      <w:r>
        <w:rPr/>
        <w:t>. Manifestations include severe or prolonged diarrhea, abdominal pain, and weight loss requiring parenteral nutrition. IEC-EC has been associated with fatal outcome from perforation or sepsis. Manage according to institutional guidelines, including referral to gastroenterology and infectious disease specialists.</w:t>
      </w:r>
    </w:p>
    <w:p>
      <w:pPr>
        <w:pStyle w:val="TextBody"/>
        <w:bidi w:val="0"/>
        <w:jc w:val="both"/>
        <w:rPr/>
      </w:pPr>
      <w:r>
        <w:rPr/>
        <w:t>In cases of refractory IEC-EC, consider additional workup to exclude alternative etiologies, including T-cell lymphoma of the GI tract, which has been reported in the post marketing setting.</w:t>
      </w:r>
    </w:p>
    <w:p>
      <w:pPr>
        <w:pStyle w:val="TextBody"/>
        <w:bidi w:val="0"/>
        <w:jc w:val="both"/>
        <w:rPr/>
      </w:pPr>
      <w:r>
        <w:rPr>
          <w:rStyle w:val="StrongEmphasis"/>
        </w:rPr>
        <w:t>SECONDARY MALIGNANCIES</w:t>
      </w:r>
      <w:r>
        <w:rPr/>
        <w:t>: Patients treated with CARVYKTI</w:t>
      </w:r>
      <w:r>
        <w:rPr>
          <w:position w:val="8"/>
          <w:sz w:val="19"/>
        </w:rPr>
        <w:t>®</w:t>
      </w:r>
      <w:r>
        <w:rPr/>
        <w:t xml:space="preserve"> may develop secondary malignancies. Among patients receiving CARVYKTI</w:t>
      </w:r>
      <w:r>
        <w:rPr>
          <w:position w:val="8"/>
          <w:sz w:val="19"/>
        </w:rPr>
        <w:t>®</w:t>
      </w:r>
      <w:r>
        <w:rPr/>
        <w:t xml:space="preserve"> in the CARTITUDE-1 &amp; -4 studies, myeloid neoplasms occurred in 5% (13/285) of patients (9 cases of myelodysplastic syndrome, 3 cases of acute myeloid leukemia, and 1 case of myelodysplastic syndrome followed by acute myeloid leukemia). The median time to onset of myeloid neoplasms was 447 days (range: 56 to 870 days) after treatment with CARVYKTI</w:t>
      </w:r>
      <w:r>
        <w:rPr>
          <w:position w:val="8"/>
          <w:sz w:val="19"/>
        </w:rPr>
        <w:t>®</w:t>
      </w:r>
      <w:r>
        <w:rPr/>
        <w:t>. Ten of these 13 patients died following the development of myeloid neoplasms; 2 of the 13 cases of myeloid neoplasm occurred after initiation of subsequent antimyeloma therapy. Cases of myelodysplastic syndrome and acute myeloid leukemia have also been reported in the post marketing setting. T-cell malignancies have occurred following treatment of hematologic malignancies with BCMA- and CD19-directed genetically modified autologous T-cell immunotherapies, including CARVYKTI</w:t>
      </w:r>
      <w:r>
        <w:rPr>
          <w:position w:val="8"/>
          <w:sz w:val="19"/>
        </w:rPr>
        <w:t>®</w:t>
      </w:r>
      <w:r>
        <w:rPr/>
        <w:t>. Mature T-cell malignancies, including CAR-positive tumors, may present as soon as weeks following infusions, and may include fatal outcomes.</w:t>
      </w:r>
    </w:p>
    <w:p>
      <w:pPr>
        <w:pStyle w:val="TextBody"/>
        <w:bidi w:val="0"/>
        <w:jc w:val="both"/>
        <w:rPr/>
      </w:pPr>
      <w:r>
        <w:rPr/>
        <w:t>Monitor lifelong for secondary malignancies. In the event that a secondary malignancy occurs, contact Janssen Biotech, Inc., at 1-800-526-7736 for reporting and to obtain instructions on collection of patient samples.</w:t>
        <w:br/>
        <w:br/>
      </w:r>
      <w:r>
        <w:rPr>
          <w:rStyle w:val="StrongEmphasis"/>
        </w:rPr>
        <w:t>ADVERSE REACTIONS</w:t>
      </w:r>
      <w:r>
        <w:rPr/>
        <w:br/>
        <w:t>The most common nonlaboratory adverse reactions (incidence greater than 20%) are pyrexia, cytokine release syndrome, hypogammaglobulinemia, hypotension, musculoskeletal pain, fatigue, infections-pathogen unspecified, cough, chills, diarrhea, nausea, encephalopathy, decreased appetite, upper respiratory tract infection, headache, tachycardia, dizziness, dyspnea, edema, viral infections, coagulopathy, constipation, and vomiting. The most common Grade 3 or 4 laboratory adverse reactions (incidence greater than or equal to 50%) include lymphopenia, neutropenia, white blood cell decreased, thrombocytopenia, and anemia.</w:t>
      </w:r>
    </w:p>
    <w:p>
      <w:pPr>
        <w:pStyle w:val="TextBody"/>
        <w:bidi w:val="0"/>
        <w:jc w:val="both"/>
        <w:rPr/>
      </w:pPr>
      <w:r>
        <w:rPr/>
        <w:t>Please read full Prescribing Information, including Boxed Warning, for CARVYKTI</w:t>
      </w:r>
      <w:r>
        <w:rPr>
          <w:position w:val="8"/>
          <w:sz w:val="19"/>
        </w:rPr>
        <w:t>®</w:t>
      </w:r>
      <w:r>
        <w:rPr/>
        <w:t>.</w:t>
      </w:r>
    </w:p>
    <w:p>
      <w:pPr>
        <w:pStyle w:val="TextBody"/>
        <w:bidi w:val="0"/>
        <w:jc w:val="both"/>
        <w:rPr/>
      </w:pPr>
      <w:r>
        <w:rPr>
          <w:rStyle w:val="StrongEmphasis"/>
        </w:rPr>
        <w:t xml:space="preserve">CAUTIONARY NOTE REGARDING FORWARD-LOOKING STATEMENTS </w:t>
      </w:r>
      <w:r>
        <w:rPr/>
        <w:br/>
        <w:br/>
      </w:r>
      <w:r>
        <w:rPr>
          <w:rStyle w:val="Emphasis"/>
        </w:rPr>
        <w:t>Statements in this press release about future expectations, plans, and prospects, as well as any other statements regarding matters that are not historical facts, constitute “forward-looking statements” within the meaning of The Private Securities Litigation Reform Act of 1995. These statements include, but are not limited to, statements relating to Legend Biotech’s strategies and objectives, and the benefits of CARVYKTI, including its curative potential in earlier-line RRMM. The words “anticipate,” “believe,” “continue,” “could,” “estimate,” “expect,” “intend,” “may,” “plan,” “potential,” “predict,” “project,” “should,” “target,” “will,” “would” and similar expressions are intended to identify forward-looking statements, although not all forward-looking statements contain these identifying words. Actual results may differ materially from those indicated by such forward-looking statements as a result of various important factors. Legend Biotech’s expectations could be affected by, among other things, uncertainties involved in the development of new pharmaceutical products; unexpected clinical trial results, including as a result of additional analysis of existing clinical data or unexpected new clinical data; unexpected regulatory actions or delays, including requests for additional safety and/or efficacy data or analysis of data, or government regulation generally; unexpected delays as a result of actions undertaken, or failures to act, by our third-party partners; uncertainties arising from challenges to Legend Biotech’s patent or other proprietary intellectual property protection, including the uncertainties involved in the U.S. litigation process; government, industry, and general product pricing and other political pressures; as well as the other factors discussed in the “Risk Factors” section of Legend Biotech’s most recent Annual Report on Form 20-F filed with the Securities and Exchange Commission . Should one or more of these risks or uncertainties materialize, or should underlying assumptions prove incorrect, actual results may vary materially from those described in this press release as anticipated, believed, estimated, or expected. Any forward-looking statements contained in this press release speak only as of the date of this press release. Legend Biotech specifically disclaims any obligation to update any forward-looking statement, whether as a result of new information, future events, or otherwise.</w:t>
      </w:r>
    </w:p>
    <w:p>
      <w:pPr>
        <w:pStyle w:val="TextBody"/>
        <w:bidi w:val="0"/>
        <w:spacing w:before="0" w:after="283"/>
        <w:jc w:val="left"/>
        <w:rPr/>
      </w:pPr>
      <w:r>
        <w:rPr/>
        <w:t> Niels van de Donk, M.D., Ph.D., Professor of Hematology at Amsterdam UMC, has provided consulting and advisory services to Legend Biotech; he has not been paid for any media work.</w:t>
      </w:r>
    </w:p>
    <w:p>
      <w:pPr>
        <w:pStyle w:val="TextBody"/>
        <w:bidi w:val="0"/>
        <w:spacing w:before="0" w:after="283"/>
        <w:jc w:val="left"/>
        <w:rPr/>
      </w:pPr>
      <w:r>
        <w:rPr>
          <w:rStyle w:val="StrongEmphasis"/>
        </w:rPr>
        <w:t>INVESTOR CONTACT:</w:t>
      </w:r>
      <w:r>
        <w:rPr/>
        <w:br/>
        <w:t>Caroline Paul</w:t>
        <w:br/>
        <w:t>Tel: 973-650-5832</w:t>
        <w:br/>
        <w:t>investor@legendbiotech.com</w:t>
      </w:r>
    </w:p>
    <w:p>
      <w:pPr>
        <w:pStyle w:val="TextBody"/>
        <w:bidi w:val="0"/>
        <w:spacing w:before="0" w:after="283"/>
        <w:jc w:val="left"/>
        <w:rPr/>
      </w:pPr>
      <w:r>
        <w:rPr>
          <w:rStyle w:val="StrongEmphasis"/>
        </w:rPr>
        <w:t>PRESS CONTACT:</w:t>
      </w:r>
      <w:r>
        <w:rPr/>
        <w:br/>
        <w:t>Kim Fox</w:t>
        <w:br/>
        <w:t>Tel: 917-415-2425</w:t>
        <w:br/>
        <w:t>media@legendbiotech.com</w:t>
      </w:r>
    </w:p>
    <w:p>
      <w:pPr>
        <w:pStyle w:val="TextBody"/>
        <w:bidi w:val="0"/>
        <w:spacing w:before="0" w:after="283"/>
        <w:jc w:val="left"/>
        <w:rPr/>
      </w:pPr>
      <w:r>
        <w:rPr>
          <w:position w:val="8"/>
          <w:sz w:val="19"/>
        </w:rPr>
        <w:t>i</w:t>
      </w:r>
      <w:r>
        <w:rPr/>
        <w:t xml:space="preserve"> Ahmed A, Killeen RB. Relapsed and Refractory Multiple Myeloma. [Updated 2023 Jun 8]. In: StatPearls [Internet]. Treasure Island (FL): StatPearls Publishing; 2026 Jan-. Available from: https://www.ncbi.nlm.nih.gov/books/NBK592405/ </w:t>
        <w:br/>
      </w:r>
      <w:r>
        <w:rPr>
          <w:position w:val="8"/>
          <w:sz w:val="19"/>
        </w:rPr>
        <w:t>ii</w:t>
      </w:r>
      <w:r>
        <w:rPr/>
        <w:t xml:space="preserve"> American Cancer Society. Signs and Symptoms of Multiple Myeloma. Available at: https://www.cancer.org/cancer/types/multiple-myeloma/detection-diagnosis-staging/signs-symptoms.html. Accessed September 2026.</w:t>
        <w:br/>
      </w:r>
      <w:r>
        <w:rPr>
          <w:position w:val="8"/>
          <w:sz w:val="19"/>
        </w:rPr>
        <w:t>iii</w:t>
      </w:r>
      <w:r>
        <w:rPr/>
        <w:t>Hillengass J, Cohen AD, Agha ME, et al. The Phase 2 CARTITUDE-2 trial: updated efficacy and safety of ciltacabtagene autoleucel in patients with multiple myeloma and 1-3 prior lines of therapy (Cohort A) and with early relapse after first line treatment (Cohort B). Blood. 2023;142(Suppl 1):1021.</w:t>
        <w:br/>
      </w:r>
      <w:r>
        <w:rPr>
          <w:position w:val="8"/>
          <w:sz w:val="19"/>
        </w:rPr>
        <w:t>iv</w:t>
      </w:r>
      <w:r>
        <w:rPr/>
        <w:t xml:space="preserve"> CARVYKTI Prescribing Information. Horsham, PA: Janssen Biotech, Inc.</w:t>
        <w:br/>
      </w:r>
      <w:r>
        <w:rPr>
          <w:position w:val="8"/>
          <w:sz w:val="19"/>
        </w:rPr>
        <w:t>v</w:t>
      </w:r>
      <w:r>
        <w:rPr/>
        <w:t xml:space="preserve"> American Cancer Society. “What is Multiple Myeloma?”. Available at: https://www.cancer.org/cancer/types/multiple-myeloma/about/what-is-multiple-myeloma.html.Accessed March 2024.</w:t>
        <w:br/>
      </w:r>
      <w:r>
        <w:rPr>
          <w:position w:val="8"/>
          <w:sz w:val="19"/>
        </w:rPr>
        <w:t>vi</w:t>
      </w:r>
      <w:r>
        <w:rPr/>
        <w:t xml:space="preserve"> American Cancer Society. “Key Statistics About Multiple Myeloma.” Available at: https://www.cancer.org/cancer/types/multiple-myeloma/about/key-statistics.html.Accessed March 2024.</w:t>
        <w:br/>
      </w:r>
      <w:r>
        <w:rPr>
          <w:position w:val="8"/>
          <w:sz w:val="19"/>
        </w:rPr>
        <w:t>vii</w:t>
      </w:r>
      <w:r>
        <w:rPr/>
        <w:t xml:space="preserve"> American Cancer Society. Multiple myeloma: early detection, diagnosis, and staging. Available at: https://www.cancer.org/content/dam/CRC/PDF/Public/8740.00.pdf. Accessed March 2023.</w:t>
        <w:br/>
      </w:r>
      <w:r>
        <w:rPr>
          <w:position w:val="8"/>
          <w:sz w:val="19"/>
        </w:rPr>
        <w:t>viii</w:t>
      </w:r>
      <w:r>
        <w:rPr/>
        <w:t xml:space="preserve"> ClinicalTrials.gov. A Study of JNJ-68284528, a Chimeric Antigen Receptor T Cell (CAR-T) Therapy Directed Against B-Cell Maturation Antigen (BCMA) in Participants With Relapsed or Refractory Multiple Myeloma (CARTITUDE-1). Available at: https://clinicaltrials.gov/study/NCT04133636. Accessed August 2026.</w:t>
        <w:br/>
      </w:r>
      <w:r>
        <w:rPr>
          <w:position w:val="8"/>
          <w:sz w:val="19"/>
        </w:rPr>
        <w:t>ix</w:t>
      </w:r>
      <w:r>
        <w:rPr/>
        <w:t xml:space="preserve"> ClinicalTrials.gov. A Study of JNJ-68284528, a Chimeric Antigen Receptor T Cell (CAR-T) Therapy Directed Against B-cell Maturation Antigen (BCMA) in Participants With Multiple Myeloma (CARTITUDE-2). Available at: https://clinicaltrials.gov/study/NCT04133636. Last accessed Aug 2026.</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5210</Words>
  <Characters>31586</Characters>
  <CharactersWithSpaces>36766</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