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LEGEND BIOTECH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#52490G102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#52490G102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36,348,532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36,380,438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36,380,438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#52490G102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36,380,438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36,380,438</w:t>
      </w:r>
    </w:p>
    <w:p>
      <w:pPr>
        <w:spacing w:after="0"/>
        <w:rPr>
          <w:sz w:val="20"/>
          <w:szCs w:val="20"/>
          <w:color w:val="auto"/>
        </w:rPr>
      </w:pPr>
      <w:r>
        <w:rPr>
          <w:rFonts w:ascii="Courier New" w:cs="Courier New" w:eastAsia="Courier New" w:hAnsi="Courier New"/>
          <w:sz w:val="18"/>
          <w:szCs w:val="18"/>
          <w:color w:val="auto"/>
        </w:rPr>
        <w:t>Item 11: 9.999%</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LEGEND BIOTECH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2101 COTTONTAIL LANE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SOMERSET, NJ 08873</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52490G102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36,380,438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36,380,438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LEGEND BIOTECH CORP. No one other person's interest in the COMMON STOCK of LEGEND BIOTECH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Fidelity Management &amp; Research (Hong Kong) Limited</w:t>
        <w:tab/>
        <w:t>IA</w:t>
      </w:r>
    </w:p>
    <w:p>
      <w:pPr>
        <w:spacing w:after="0" w:line="238" w:lineRule="auto"/>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698" w:lineRule="exact"/>
        <w:rPr>
          <w:sz w:val="20"/>
          <w:szCs w:val="20"/>
          <w:color w:val="auto"/>
        </w:rPr>
      </w:pPr>
    </w:p>
    <w:p>
      <w:pPr>
        <w:sectPr>
          <w:pgSz w:w="11900" w:h="16838" w:orient="portrait"/>
          <w:cols w:equalWidth="0" w:num="2">
            <w:col w:w="5700" w:space="100"/>
            <w:col w:w="4339"/>
          </w:cols>
          <w:pgMar w:left="320" w:top="110"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LEGEND BIOTECH CORP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2024-11-12T09:40:56Z</dcterms:created>
  <dcterms:modified xsi:type="dcterms:W3CDTF">2024-11-12T09:40:56Z</dcterms:modified>
</cp:coreProperties>
</file>