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a53874140.htm"/>
      <w:bookmarkStart w:id="1" w:name="ksa53874140"/>
      <w:bookmarkStart w:id="2" w:name="a53874140.htm"/>
      <w:bookmarkStart w:id="3" w:name="ksa53874140"/>
      <w:bookmarkEnd w:id="2"/>
      <w:bookmarkEnd w:id="3"/>
    </w:p>
    <w:p>
      <w:pPr>
        <w:pStyle w:val="TextBody"/>
        <w:bidi w:val="0"/>
        <w:spacing w:before="0" w:after="0"/>
        <w:jc w:val="center"/>
        <w:rPr>
          <w:rFonts w:ascii="Times New Roman;Times;serif" w:hAnsi="Times New Roman;Times;serif"/>
          <w:b/>
          <w:sz w:val="32"/>
        </w:rPr>
      </w:pPr>
      <w:r>
        <w:rPr>
          <w:rFonts w:ascii="Times New Roman;Times;serif" w:hAnsi="Times New Roman;Times;serif"/>
          <w:b/>
          <w:sz w:val="32"/>
        </w:rPr>
      </w:r>
    </w:p>
    <w:p>
      <w:pPr>
        <w:pStyle w:val="TextBody"/>
        <w:bidi w:val="0"/>
        <w:spacing w:before="0" w:after="0"/>
        <w:jc w:val="center"/>
        <w:rPr>
          <w:rFonts w:ascii="Times New Roman;Times;serif" w:hAnsi="Times New Roman;Times;serif"/>
          <w:b/>
          <w:color w:val="000000"/>
          <w:sz w:val="32"/>
        </w:rPr>
      </w:pPr>
      <w:r>
        <w:rPr>
          <w:rFonts w:ascii="Times New Roman;Times;serif" w:hAnsi="Times New Roman;Times;serif"/>
          <w:b/>
          <w:color w:val="000000"/>
          <w:sz w:val="32"/>
        </w:rPr>
        <w:t>UNITED STATES</w:t>
      </w:r>
    </w:p>
    <w:p>
      <w:pPr>
        <w:pStyle w:val="TextBody"/>
        <w:bidi w:val="0"/>
        <w:spacing w:before="0" w:after="0"/>
        <w:jc w:val="center"/>
        <w:rPr>
          <w:rFonts w:ascii="Times New Roman;Times;serif" w:hAnsi="Times New Roman;Times;serif"/>
          <w:b/>
          <w:color w:val="000000"/>
          <w:sz w:val="32"/>
        </w:rPr>
      </w:pPr>
      <w:r>
        <w:rPr>
          <w:rFonts w:ascii="Times New Roman;Times;serif" w:hAnsi="Times New Roman;Times;serif"/>
          <w:b/>
          <w:color w:val="000000"/>
          <w:sz w:val="32"/>
        </w:rPr>
        <w:t>SECURITIES AND EXCHANGE COMMISSION</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330239d6dce341d1adcb25c8cd77d9b4"/>
      <w:bookmarkStart w:id="5" w:name="z330239d6dce341d1adcb25c8cd77d9b4"/>
      <w:bookmarkEnd w:id="5"/>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0"/>
              <w:jc w:val="center"/>
              <w:rPr>
                <w:color w:val="000000"/>
              </w:rPr>
            </w:pPr>
            <w:r>
              <w:rPr>
                <w:color w:val="000000"/>
              </w:rPr>
              <w:t> </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32"/>
        </w:rPr>
      </w:pPr>
      <w:r>
        <w:rPr>
          <w:rFonts w:ascii="Times New Roman;Times;serif" w:hAnsi="Times New Roman;Times;serif"/>
          <w:b/>
          <w:color w:val="000000"/>
          <w:sz w:val="32"/>
        </w:rPr>
        <w:t>FORM 6-K</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bde3dca2404248f29eaaed801b569eac"/>
      <w:bookmarkStart w:id="7" w:name="zbde3dca2404248f29eaaed801b569eac"/>
      <w:bookmarkEnd w:id="7"/>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0"/>
              <w:jc w:val="center"/>
              <w:rPr>
                <w:color w:val="000000"/>
              </w:rPr>
            </w:pPr>
            <w:r>
              <w:rPr>
                <w:color w:val="000000"/>
              </w:rPr>
              <w:t> </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Foreign Private Issuer</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Rule 13a-16 or 15d-16</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Date of Report: December 21, 2023</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Commission File Number: 001-39307</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c1c4884950224e1b93688d92a717e4d1"/>
      <w:bookmarkStart w:id="9" w:name="zc1c4884950224e1b93688d92a717e4d1"/>
      <w:bookmarkEnd w:id="9"/>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0"/>
              <w:jc w:val="center"/>
              <w:rPr>
                <w:color w:val="000000"/>
              </w:rPr>
            </w:pPr>
            <w:r>
              <w:rPr>
                <w:color w:val="000000"/>
              </w:rPr>
              <w:t> </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32"/>
        </w:rPr>
      </w:pPr>
      <w:r>
        <w:rPr>
          <w:rFonts w:ascii="Times New Roman;Times;serif" w:hAnsi="Times New Roman;Times;serif"/>
          <w:b/>
          <w:color w:val="000000"/>
          <w:sz w:val="32"/>
        </w:rPr>
        <w:t>Legend Biotech Corporation</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(Exact Name of Registrant as Specified in its Charter)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cf1ffb78ea2b43f09cae744767c6c378"/>
      <w:bookmarkStart w:id="11" w:name="zcf1ffb78ea2b43f09cae744767c6c378"/>
      <w:bookmarkEnd w:id="11"/>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0"/>
              <w:jc w:val="center"/>
              <w:rPr>
                <w:color w:val="000000"/>
              </w:rPr>
            </w:pPr>
            <w:r>
              <w:rPr>
                <w:color w:val="000000"/>
              </w:rPr>
              <w:t> </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2101 Cottontail Lane</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Somerset, New Jersey 08873</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(Address of principal executive office)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f00dd1bd50744d5084e96b5e16f46256"/>
      <w:bookmarkStart w:id="13" w:name="zf00dd1bd50744d5084e96b5e16f46256"/>
      <w:bookmarkEnd w:id="13"/>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0"/>
              <w:jc w:val="center"/>
              <w:rPr>
                <w:color w:val="000000"/>
              </w:rPr>
            </w:pPr>
            <w:r>
              <w:rPr>
                <w:color w:val="000000"/>
              </w:rPr>
              <w:t> </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if the registrant is submitting the Form 6-K in paper as permitted by Regulation S-T Rule 101(b)(1):  ☐</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if the registrant is submitting the Form 6-K in paper as permitted by Regulation S-T Rule 101(b)(7):  ☐</w:t>
      </w:r>
    </w:p>
    <w:p>
      <w:pPr>
        <w:pStyle w:val="TextBody"/>
        <w:bidi w:val="0"/>
        <w:spacing w:before="0" w:after="0"/>
        <w:ind w:left="0" w:right="0" w:firstLine="720"/>
        <w:jc w:val="left"/>
        <w:rPr/>
      </w:pPr>
      <w:r>
        <w:rPr/>
      </w:r>
    </w:p>
    <w:p>
      <w:pPr>
        <w:pStyle w:val="Normal"/>
        <w:bidi w:val="0"/>
        <w:spacing w:before="0" w:after="0"/>
        <w:jc w:val="left"/>
        <w:rPr>
          <w:sz w:val="4"/>
          <w:szCs w:val="4"/>
        </w:rPr>
      </w:pPr>
      <w:r>
        <w:rPr>
          <w:sz w:val="4"/>
          <w:szCs w:val="4"/>
        </w:rPr>
      </w:r>
      <w:bookmarkStart w:id="14" w:name="zf44eb6545f5243e38d82f59b4291d95d"/>
      <w:bookmarkStart w:id="15" w:name="zf44eb6545f5243e38d82f59b4291d95d"/>
      <w:bookmarkEnd w:id="15"/>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0"/>
              <w:ind w:left="55" w:right="0" w:hanging="0"/>
              <w:jc w:val="left"/>
              <w:rPr>
                <w:color w:val="000000"/>
              </w:rPr>
            </w:pPr>
            <w:r>
              <w:rPr>
                <w:color w:val="000000"/>
              </w:rPr>
              <w:t> </w:t>
            </w:r>
          </w:p>
        </w:tc>
      </w:tr>
    </w:tbl>
    <w:p>
      <w:pPr>
        <w:pStyle w:val="HorizontalLine"/>
        <w:pBdr>
          <w:bottom w:val="single" w:sz="12" w:space="0" w:color="808080"/>
        </w:pBdr>
        <w:bidi w:val="0"/>
        <w:spacing w:before="200" w:after="200"/>
        <w:jc w:val="left"/>
        <w:rPr/>
      </w:pPr>
      <w:r>
        <w:rPr/>
      </w:r>
    </w:p>
    <w:p>
      <w:pPr>
        <w:pStyle w:val="TextBody"/>
        <w:bidi w:val="0"/>
        <w:spacing w:before="0" w:after="0"/>
        <w:jc w:val="left"/>
        <w:rPr>
          <w:b/>
        </w:rPr>
      </w:pPr>
      <w:r>
        <w:rPr>
          <w:b/>
        </w:rPr>
      </w:r>
    </w:p>
    <w:p>
      <w:pPr>
        <w:pStyle w:val="TextBody"/>
        <w:bidi w:val="0"/>
        <w:spacing w:lineRule="auto" w:line="240" w:before="0" w:after="0"/>
        <w:jc w:val="left"/>
        <w:rPr>
          <w:rFonts w:ascii="Times New Roman;Times;serif" w:hAnsi="Times New Roman;Times;serif"/>
          <w:b/>
          <w:color w:val="000000"/>
          <w:sz w:val="20"/>
        </w:rPr>
      </w:pPr>
      <w:r>
        <w:rPr>
          <w:rFonts w:ascii="Times New Roman;Times;serif" w:hAnsi="Times New Roman;Times;serif"/>
          <w:b/>
          <w:color w:val="000000"/>
          <w:sz w:val="20"/>
        </w:rPr>
        <w:t>Legend Biotech Announces U.S. FDA Label Update for CARVYKTI® (ciltacabtagene autoleucel; cilta-cel)</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On December 21, 2023, the United States Food and Drug Administration (FDA) approved a label update for CARVYKTI® to include additional efficacy and safety information from longer-term follow-up (median duration of 28 months) of the CARTITUDE-1 study.</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this label update, the following sentence is added to the Boxed Warning of the U.S. Prescribing Information: “Secondary hematological malignancies, including myelodysplastic syndrome and acute myeloid leukemia, have occurred following treatment with CARVYKTI.”</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update to the Boxed Warning follows the observation that myeloid neoplasms (myelodysplastic syndrome [MDS], acute myeloid leukemia [AML] or MDS followed by AML) occurred in 10% (10/97) of patients following treatment with CARVYKTI in the CARTITUDE-1 study. The median time to onset of myeloid neoplasms was 485 days (range: 162 to 1040 days) after treatment with CARVYKTI. Nine</w:t>
      </w:r>
      <w:r>
        <w:rPr>
          <w:rFonts w:ascii="Times New Roman;Times;serif" w:hAnsi="Times New Roman;Times;serif"/>
          <w:color w:val="FF0000"/>
          <w:sz w:val="20"/>
        </w:rPr>
        <w:t> </w:t>
      </w:r>
      <w:r>
        <w:rPr>
          <w:rFonts w:ascii="Times New Roman;Times;serif" w:hAnsi="Times New Roman;Times;serif"/>
          <w:color w:val="000000"/>
          <w:sz w:val="20"/>
        </w:rPr>
        <w:t>of these 10 patients died following the development of myeloid neoplasms. Four of the 10 cases of myeloid neoplasm occurred after initiation of subsequent antimyeloma therapy. Cases of myelodysplastic syndrome and acute myeloid leukemia have also been reported in the post marketing setting. These 10 patients were heavily pre-treated with a median of 7.5 prior therapies (range: 4 to 18). Some of these patients had genetic mutations present prior to receipt of CARVYKTI. A potential underlying mechanism between CARVYKTI and the development of myeloid neoplasms has not been established.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date, more than 2,000 patients have been treated with cilta-cel in clinical and commercial settings.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report on Form 6-K shall be deemed to be incorporated by reference in the registration statements of Legend Biotech on Form F-3 (Nos. 333-272222, 333-257609 and 333-257625) and Form S-8 (No. 333-239478), to the extent not superseded by documents or reports subsequently filed.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b/>
        </w:rPr>
      </w:pPr>
      <w:r>
        <w:rPr>
          <w:b/>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before="0" w:after="0"/>
        <w:jc w:val="left"/>
        <w:rPr>
          <w:color w:val="000000"/>
        </w:rPr>
      </w:pPr>
      <w:r>
        <w:rPr>
          <w:color w:val="000000"/>
        </w:rPr>
        <w:t> </w:t>
      </w:r>
    </w:p>
    <w:p>
      <w:pPr>
        <w:pStyle w:val="TextBody"/>
        <w:bidi w:val="0"/>
        <w:spacing w:before="0" w:after="0"/>
        <w:ind w:left="0" w:right="0" w:firstLine="49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67842511bf224728add9a8413ddfd778"/>
      <w:bookmarkStart w:id="17" w:name="z67842511bf224728add9a8413ddfd778"/>
      <w:bookmarkEnd w:id="17"/>
    </w:p>
    <w:tbl>
      <w:tblPr>
        <w:tblW w:w="6669" w:type="dxa"/>
        <w:jc w:val="left"/>
        <w:tblInd w:w="0" w:type="dxa"/>
        <w:tblLayout w:type="fixed"/>
        <w:tblCellMar>
          <w:top w:w="0" w:type="dxa"/>
          <w:left w:w="0" w:type="dxa"/>
          <w:bottom w:w="0" w:type="dxa"/>
          <w:right w:w="0" w:type="dxa"/>
        </w:tblCellMar>
      </w:tblPr>
      <w:tblGrid>
        <w:gridCol w:w="2465"/>
        <w:gridCol w:w="60"/>
        <w:gridCol w:w="917"/>
        <w:gridCol w:w="3227"/>
      </w:tblGrid>
      <w:tr>
        <w:trPr/>
        <w:tc>
          <w:tcPr>
            <w:tcW w:w="2465"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4144" w:type="dxa"/>
            <w:gridSpan w:val="2"/>
            <w:tcBorders/>
            <w:vAlign w:val="center"/>
          </w:tcPr>
          <w:p>
            <w:pPr>
              <w:pStyle w:val="TableContents"/>
              <w:bidi w:val="0"/>
              <w:spacing w:before="0" w:after="0"/>
              <w:jc w:val="left"/>
              <w:rPr>
                <w:b/>
                <w:color w:val="000000"/>
              </w:rPr>
            </w:pPr>
            <w:r>
              <w:rPr>
                <w:b/>
                <w:color w:val="000000"/>
              </w:rPr>
              <w:t>LEGEND BIOTECH CORPORATION</w:t>
            </w:r>
          </w:p>
        </w:tc>
      </w:tr>
      <w:tr>
        <w:trPr/>
        <w:tc>
          <w:tcPr>
            <w:tcW w:w="2465"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917" w:type="dxa"/>
            <w:tcBorders/>
            <w:vAlign w:val="center"/>
          </w:tcPr>
          <w:p>
            <w:pPr>
              <w:pStyle w:val="TableContents"/>
              <w:bidi w:val="0"/>
              <w:spacing w:before="0" w:after="0"/>
              <w:jc w:val="left"/>
              <w:rPr>
                <w:color w:val="000000"/>
              </w:rPr>
            </w:pPr>
            <w:r>
              <w:rPr>
                <w:color w:val="000000"/>
              </w:rPr>
              <w:t> </w:t>
            </w:r>
          </w:p>
        </w:tc>
        <w:tc>
          <w:tcPr>
            <w:tcW w:w="3227" w:type="dxa"/>
            <w:tcBorders/>
            <w:vAlign w:val="center"/>
          </w:tcPr>
          <w:p>
            <w:pPr>
              <w:pStyle w:val="TableContents"/>
              <w:bidi w:val="0"/>
              <w:spacing w:before="0" w:after="0"/>
              <w:jc w:val="left"/>
              <w:rPr>
                <w:color w:val="000000"/>
              </w:rPr>
            </w:pPr>
            <w:r>
              <w:rPr>
                <w:color w:val="000000"/>
              </w:rPr>
              <w:t> </w:t>
            </w:r>
          </w:p>
        </w:tc>
      </w:tr>
      <w:tr>
        <w:trPr/>
        <w:tc>
          <w:tcPr>
            <w:tcW w:w="246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Date: December 21, 2023</w:t>
            </w:r>
          </w:p>
        </w:tc>
        <w:tc>
          <w:tcPr>
            <w:tcW w:w="60" w:type="dxa"/>
            <w:tcBorders/>
            <w:vAlign w:val="center"/>
          </w:tcPr>
          <w:p>
            <w:pPr>
              <w:pStyle w:val="TableContents"/>
              <w:bidi w:val="0"/>
              <w:spacing w:before="0" w:after="0"/>
              <w:jc w:val="left"/>
              <w:rPr>
                <w:color w:val="000000"/>
              </w:rPr>
            </w:pPr>
            <w:r>
              <w:rPr>
                <w:color w:val="000000"/>
              </w:rPr>
              <w:t> </w:t>
            </w:r>
          </w:p>
        </w:tc>
        <w:tc>
          <w:tcPr>
            <w:tcW w:w="917" w:type="dxa"/>
            <w:tcBorders/>
            <w:vAlign w:val="center"/>
          </w:tcPr>
          <w:p>
            <w:pPr>
              <w:pStyle w:val="TableContents"/>
              <w:bidi w:val="0"/>
              <w:spacing w:before="0" w:after="0"/>
              <w:jc w:val="left"/>
              <w:rPr>
                <w:color w:val="000000"/>
              </w:rPr>
            </w:pPr>
            <w:r>
              <w:rPr>
                <w:color w:val="000000"/>
              </w:rPr>
              <w:t>By:</w:t>
            </w:r>
          </w:p>
        </w:tc>
        <w:tc>
          <w:tcPr>
            <w:tcW w:w="3227"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Ying Huang</w:t>
            </w:r>
          </w:p>
        </w:tc>
      </w:tr>
      <w:tr>
        <w:trPr/>
        <w:tc>
          <w:tcPr>
            <w:tcW w:w="2465"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917" w:type="dxa"/>
            <w:tcBorders/>
            <w:vAlign w:val="center"/>
          </w:tcPr>
          <w:p>
            <w:pPr>
              <w:pStyle w:val="TableContents"/>
              <w:bidi w:val="0"/>
              <w:spacing w:before="0" w:after="0"/>
              <w:jc w:val="left"/>
              <w:rPr>
                <w:color w:val="000000"/>
              </w:rPr>
            </w:pPr>
            <w:r>
              <w:rPr>
                <w:color w:val="000000"/>
              </w:rPr>
              <w:t>Name:</w:t>
            </w:r>
          </w:p>
        </w:tc>
        <w:tc>
          <w:tcPr>
            <w:tcW w:w="3227" w:type="dxa"/>
            <w:tcBorders>
              <w:top w:val="single" w:sz="12" w:space="0" w:color="000000"/>
            </w:tcBorders>
            <w:tcMar>
              <w:top w:w="28" w:type="dxa"/>
            </w:tcMar>
            <w:vAlign w:val="center"/>
          </w:tcPr>
          <w:p>
            <w:pPr>
              <w:pStyle w:val="TableContents"/>
              <w:bidi w:val="0"/>
              <w:spacing w:before="0" w:after="0"/>
              <w:jc w:val="left"/>
              <w:rPr>
                <w:color w:val="000000"/>
              </w:rPr>
            </w:pPr>
            <w:r>
              <w:rPr>
                <w:color w:val="000000"/>
              </w:rPr>
              <w:t>Ying Huang, Ph.D.</w:t>
            </w:r>
          </w:p>
        </w:tc>
      </w:tr>
      <w:tr>
        <w:trPr/>
        <w:tc>
          <w:tcPr>
            <w:tcW w:w="2465"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917" w:type="dxa"/>
            <w:tcBorders/>
            <w:vAlign w:val="center"/>
          </w:tcPr>
          <w:p>
            <w:pPr>
              <w:pStyle w:val="TableContents"/>
              <w:bidi w:val="0"/>
              <w:spacing w:before="0" w:after="0"/>
              <w:jc w:val="left"/>
              <w:rPr>
                <w:color w:val="000000"/>
              </w:rPr>
            </w:pPr>
            <w:r>
              <w:rPr>
                <w:color w:val="000000"/>
              </w:rPr>
              <w:t>Title:</w:t>
            </w:r>
          </w:p>
        </w:tc>
        <w:tc>
          <w:tcPr>
            <w:tcW w:w="3227" w:type="dxa"/>
            <w:tcBorders/>
            <w:vAlign w:val="center"/>
          </w:tcPr>
          <w:p>
            <w:pPr>
              <w:pStyle w:val="TableContents"/>
              <w:bidi w:val="0"/>
              <w:spacing w:before="0" w:after="0"/>
              <w:jc w:val="left"/>
              <w:rPr>
                <w:color w:val="000000"/>
              </w:rPr>
            </w:pPr>
            <w:r>
              <w:rPr>
                <w:color w:val="000000"/>
              </w:rPr>
              <w:t>Chief Executive Officer</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475</Words>
  <Characters>2641</Characters>
  <CharactersWithSpaces>3134</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