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FORM 6-K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Report of Foreign Private Issuer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Rule 13a-16 or 15d-16</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Date of Report: August 11, 2026</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Commission File Number: 001-39307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240" w:after="283"/>
        <w:jc w:val="center"/>
        <w:rPr>
          <w:rFonts w:ascii="Times New Roman;serif" w:hAnsi="Times New Roman;serif"/>
          <w:b/>
          <w:color w:val="000000"/>
          <w:sz w:val="42"/>
        </w:rPr>
      </w:pPr>
      <w:r>
        <w:rPr>
          <w:rFonts w:ascii="Times New Roman;serif" w:hAnsi="Times New Roman;serif"/>
          <w:b/>
          <w:color w:val="000000"/>
          <w:sz w:val="42"/>
        </w:rPr>
        <w:t>Legend Biotech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77 Corporate Drive, 4th Floor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Bridgewater, New Jersey 08807</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files or will file annual reports under cover of Form 20-F or Form 40-F:</w:t>
      </w:r>
    </w:p>
    <w:p>
      <w:pPr>
        <w:pStyle w:val="TextBody"/>
        <w:bidi w:val="0"/>
        <w:spacing w:lineRule="auto" w:line="288" w:before="240" w:after="283"/>
        <w:jc w:val="center"/>
        <w:rPr/>
      </w:pPr>
      <w:r>
        <w:rPr>
          <w:rFonts w:ascii="Times New Roman;serif" w:hAnsi="Times New Roman;serif"/>
          <w:b w:val="false"/>
          <w:color w:val="000000"/>
          <w:sz w:val="22"/>
        </w:rPr>
        <w:t xml:space="preserve">Form 20-F </w:t>
      </w:r>
      <w:r>
        <w:rPr>
          <w:rFonts w:ascii="Wingdings;sans-serif" w:hAnsi="Wingdings;sans-serif"/>
          <w:b w:val="false"/>
          <w:color w:val="000000"/>
          <w:sz w:val="22"/>
        </w:rPr>
        <w:t>x</w:t>
      </w:r>
      <w:r>
        <w:rPr>
          <w:color w:val="000000"/>
        </w:rPr>
        <w:t xml:space="preserve"> </w:t>
      </w:r>
      <w:r>
        <w:rPr>
          <w:rFonts w:ascii="Times New Roman;serif" w:hAnsi="Times New Roman;serif"/>
          <w:b w:val="false"/>
          <w:color w:val="000000"/>
          <w:sz w:val="22"/>
        </w:rPr>
        <w:t xml:space="preserve">Form 40-F </w:t>
      </w:r>
      <w:r>
        <w:rPr>
          <w:rFonts w:ascii="Wingdings;sans-serif" w:hAnsi="Wingdings;sans-serif"/>
          <w:b w:val="false"/>
          <w:color w:val="000000"/>
          <w:sz w:val="22"/>
        </w:rPr>
        <w:t>o</w:t>
      </w:r>
    </w:p>
    <w:p>
      <w:pPr>
        <w:pStyle w:val="TextBody"/>
        <w:bidi w:val="0"/>
        <w:spacing w:lineRule="auto" w:line="288" w:before="240" w:after="283"/>
        <w:jc w:val="center"/>
        <w:rPr/>
      </w:pPr>
      <w:r>
        <w:rPr>
          <w:rFonts w:ascii="Times New Roman;serif" w:hAnsi="Times New Roman;serif"/>
          <w:b w:val="false"/>
          <w:color w:val="000000"/>
          <w:sz w:val="22"/>
        </w:rPr>
        <w:t xml:space="preserve">Indicate by check mark if the registrant is submitting the Form 6-K in paper as permitted by Regulation S-T Rule 101(b)(1): </w:t>
      </w:r>
      <w:r>
        <w:rPr>
          <w:rFonts w:ascii="Wingdings;sans-serif" w:hAnsi="Wingdings;sans-serif"/>
          <w:b w:val="false"/>
          <w:color w:val="000000"/>
          <w:sz w:val="22"/>
        </w:rPr>
        <w:t>o</w:t>
      </w:r>
    </w:p>
    <w:p>
      <w:pPr>
        <w:pStyle w:val="TextBody"/>
        <w:bidi w:val="0"/>
        <w:spacing w:lineRule="auto" w:line="288" w:before="240" w:after="283"/>
        <w:jc w:val="center"/>
        <w:rPr/>
      </w:pPr>
      <w:r>
        <w:rPr>
          <w:rFonts w:ascii="Times New Roman;serif" w:hAnsi="Times New Roman;serif"/>
          <w:b w:val="false"/>
          <w:color w:val="000000"/>
          <w:sz w:val="22"/>
        </w:rPr>
        <w:t xml:space="preserve">Indicate by check mark if the registrant is submitting the Form 6-K in paper as permitted by Regulation S-T Rule 101(b)(7): </w:t>
      </w:r>
      <w:r>
        <w:rPr>
          <w:rFonts w:ascii="Wingdings;sans-serif" w:hAnsi="Wingdings;sans-serif"/>
          <w:b w:val="false"/>
          <w:color w:val="000000"/>
          <w:sz w:val="22"/>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9085"/>
                <wp:effectExtent l="0" t="0" r="0" b="0"/>
                <wp:wrapNone/>
                <wp:docPr id="1" name="Frame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283"/>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Legend Biotech Reports Financial Results for the Three and Six Months Ended June 30, 2026</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Legend Biotech Corporation (“Legend Biotech”) is furnishing this report on Form 6-K to provide its unaudited interim condensed consolidated financial statements as of June 30, 2026 and for the three and six months ended June 30, 2026 and 2025 and to provide Management’s Discussion and Analysis of Financial Condition and Results of Operations with respect to such financial statements. In addition, Legend Biotech is providing a supplemental risk factor, as set forth in Exhibit 99.4 to this Form 6-K.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11, 2026, Legend Biotech issued a press release regarding its unaudited financial results for the three and six months ended June 30, 2026 and recent business highlights, which is attached to this Form 6-K as Exhibit 99.1. The unaudited interim condensed consolidated financial statements as of June 30, 2026 and for the three and six months ended June 30, 2026 and 2025 are attached to this Form 6-K as Exhibit 99.2. Management’s Discussion and Analysis of Financial Condition and Results of Operations is attached to this Form 6-K as Exhibit 99.3.</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on Form 6-K, including Exhibits 99.1 (other than the information included under “Webcast/Conference Call Details” and “About Legend Biotech”), 99.2, 99.3, and 99.4, are hereby incorporated by reference into Legend Biotech’s Registration Statements on Form F-3 (Registration Nos. 333-278050 and 333-257625) and Legend Biotech’s Registration Statement on Form S-8 (Registration Nos. 333-239478 and 333-283217).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 xml:space="preserve">EXHIBIT INDEX </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884"/>
        <w:gridCol w:w="2555"/>
        <w:gridCol w:w="368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w:t>
            </w:r>
          </w:p>
        </w:tc>
      </w:tr>
      <w:tr>
        <w:trPr/>
        <w:tc>
          <w:tcPr>
            <w:tcW w:w="7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a991earningsreleaseq22026.htm">
              <w:r>
                <w:rPr>
                  <w:rStyle w:val="InternetLink"/>
                  <w:rFonts w:ascii="Times New Roman;serif" w:hAnsi="Times New Roman;serif"/>
                  <w:b w:val="false"/>
                  <w:strike w:val="false"/>
                  <w:dstrike w:val="false"/>
                  <w:color w:val="000000"/>
                  <w:sz w:val="20"/>
                  <w:u w:val="none"/>
                  <w:effect w:val="none"/>
                </w:rPr>
                <w:t>99.1</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August 11, 2026.</w:t>
            </w:r>
          </w:p>
        </w:tc>
      </w:tr>
      <w:tr>
        <w:trPr/>
        <w:tc>
          <w:tcPr>
            <w:tcW w:w="7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i8719e555fe924c7e8c4007e50dd117d8_16">
              <w:r>
                <w:rPr>
                  <w:rStyle w:val="InternetLink"/>
                  <w:rFonts w:ascii="Times New Roman;serif" w:hAnsi="Times New Roman;serif"/>
                  <w:b w:val="false"/>
                  <w:strike w:val="false"/>
                  <w:dstrike w:val="false"/>
                  <w:color w:val="000000"/>
                  <w:sz w:val="20"/>
                  <w:u w:val="none"/>
                  <w:effect w:val="none"/>
                </w:rPr>
                <w:t>99.2</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 Interim Condensed Consolidated Financial Statements as of June 30, 2026, and for the three and six months ended June 30, 2026, and 2025.</w:t>
            </w:r>
          </w:p>
        </w:tc>
      </w:tr>
      <w:tr>
        <w:trPr/>
        <w:tc>
          <w:tcPr>
            <w:tcW w:w="7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i8719e555fe924c7e8c4007e50dd117d8_79">
              <w:r>
                <w:rPr>
                  <w:rStyle w:val="InternetLink"/>
                  <w:rFonts w:ascii="Times New Roman;serif" w:hAnsi="Times New Roman;serif"/>
                  <w:b w:val="false"/>
                  <w:strike w:val="false"/>
                  <w:dstrike w:val="false"/>
                  <w:color w:val="000000"/>
                  <w:sz w:val="20"/>
                  <w:u w:val="none"/>
                  <w:effect w:val="none"/>
                </w:rPr>
                <w:t>99.3</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r>
      <w:tr>
        <w:trPr/>
        <w:tc>
          <w:tcPr>
            <w:tcW w:w="75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exhibit994-supplementalris.htm">
              <w:r>
                <w:rPr>
                  <w:rStyle w:val="InternetLink"/>
                  <w:rFonts w:ascii="Times New Roman;serif" w:hAnsi="Times New Roman;serif"/>
                  <w:b w:val="false"/>
                  <w:strike w:val="false"/>
                  <w:dstrike w:val="false"/>
                  <w:color w:val="000000"/>
                  <w:sz w:val="20"/>
                  <w:u w:val="none"/>
                  <w:effect w:val="none"/>
                </w:rPr>
                <w:t>99.</w:t>
              </w:r>
            </w:hyperlink>
            <w:r>
              <w:rPr>
                <w:rFonts w:ascii="Times New Roman;serif" w:hAnsi="Times New Roman;serif"/>
                <w:b w:val="false"/>
                <w:color w:val="000000"/>
                <w:sz w:val="20"/>
              </w:rPr>
              <w:t>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Company Risk Factor</w:t>
            </w:r>
          </w:p>
        </w:tc>
      </w:tr>
      <w:tr>
        <w:trPr/>
        <w:tc>
          <w:tcPr>
            <w:tcW w:w="75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materials from Legend Biotech’s Report on Form 6-K for the six months ended June 30, 2026 formatted in XBRL (eXtensible Business Reporting Language): (i) the Unaudited Interim Condensed Consolidated Statements of Profit or Loss and Other Comprehensive Income (Loss), (ii) the Unaudited Interim Condensed Consolidated Statement of Financial Position, (iii) the Unaudited Interim Condensed Consolidated Statements of Changes in Equity, (iv) the Unaudited Interim Condensed Consolidated Statements of Cash Flows, and (v) Notes to the Unaudited Interim Condensed Consolidated Financial Statements.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83"/>
        <w:jc w:val="right"/>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00" w:type="dxa"/>
        <w:jc w:val="left"/>
        <w:tblInd w:w="0" w:type="dxa"/>
        <w:tblLayout w:type="fixed"/>
        <w:tblCellMar>
          <w:top w:w="28" w:type="dxa"/>
          <w:left w:w="28" w:type="dxa"/>
          <w:bottom w:w="28" w:type="dxa"/>
          <w:right w:w="28" w:type="dxa"/>
        </w:tblCellMar>
      </w:tblPr>
      <w:tblGrid>
        <w:gridCol w:w="531"/>
        <w:gridCol w:w="468"/>
        <w:gridCol w:w="470"/>
        <w:gridCol w:w="534"/>
        <w:gridCol w:w="534"/>
        <w:gridCol w:w="534"/>
        <w:gridCol w:w="534"/>
        <w:gridCol w:w="534"/>
        <w:gridCol w:w="761"/>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LEGEND BIOTECH CORPORATION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4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Alan Bash</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Alan Bash</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Interim Chief Executive Officer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2"/>
        </w:rPr>
      </w:pPr>
      <w:r>
        <w:rPr>
          <w:rFonts w:ascii="Times New Roman;serif" w:hAnsi="Times New Roman;serif"/>
          <w:b/>
          <w:color w:val="000000"/>
          <w:sz w:val="22"/>
        </w:rPr>
        <w:t>Exhibit 99.2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LEGEND BIOTECH CORPORATION </w:t>
      </w:r>
    </w:p>
    <w:p>
      <w:pPr>
        <w:pStyle w:val="TextBody"/>
        <w:bidi w:val="0"/>
        <w:spacing w:lineRule="auto" w:line="288" w:before="0" w:after="0"/>
        <w:jc w:val="center"/>
        <w:rPr/>
      </w:pPr>
      <w:r>
        <w:rPr>
          <w:rFonts w:ascii="Times New Roman;serif" w:hAnsi="Times New Roman;serif"/>
          <w:b/>
          <w:color w:val="000000"/>
          <w:sz w:val="20"/>
        </w:rPr>
        <w:t>UNAUDITED INTERIM CONDENSED</w:t>
      </w:r>
      <w:r>
        <w:rPr>
          <w:color w:val="000000"/>
        </w:rPr>
        <w:t xml:space="preserve"> </w:t>
      </w:r>
      <w:r>
        <w:rPr>
          <w:rFonts w:ascii="Times New Roman;serif" w:hAnsi="Times New Roman;serif"/>
          <w:b/>
          <w:color w:val="000000"/>
          <w:sz w:val="20"/>
        </w:rPr>
        <w:t>CONSOLIDATED STATEMENTS OF PROFIT OR LOSS AND OTHER COMPREHENSIVE INCOME (LOSS) FOR THE THREE AND SIX MONTHS ENDED JUNE 30, 2026 AND 2025</w:t>
      </w:r>
    </w:p>
    <w:p>
      <w:pPr>
        <w:pStyle w:val="TextBody"/>
        <w:bidi w:val="0"/>
        <w:spacing w:before="0" w:after="0"/>
        <w:jc w:val="center"/>
        <w:rPr/>
      </w:pPr>
      <w:r>
        <w:rPr/>
      </w:r>
    </w:p>
    <w:p>
      <w:pPr>
        <w:pStyle w:val="TextBody"/>
        <w:bidi w:val="0"/>
        <w:spacing w:before="240" w:after="283"/>
        <w:jc w:val="center"/>
        <w:rPr/>
      </w:pPr>
      <w:r>
        <w:rPr/>
      </w:r>
    </w:p>
    <w:tbl>
      <w:tblPr>
        <w:tblW w:w="10205" w:type="dxa"/>
        <w:jc w:val="center"/>
        <w:tblInd w:w="0" w:type="dxa"/>
        <w:tblLayout w:type="fixed"/>
        <w:tblCellMar>
          <w:top w:w="28" w:type="dxa"/>
          <w:left w:w="28" w:type="dxa"/>
          <w:bottom w:w="28" w:type="dxa"/>
          <w:right w:w="28" w:type="dxa"/>
        </w:tblCellMar>
      </w:tblPr>
      <w:tblGrid>
        <w:gridCol w:w="1939"/>
        <w:gridCol w:w="1407"/>
        <w:gridCol w:w="1360"/>
        <w:gridCol w:w="109"/>
        <w:gridCol w:w="109"/>
        <w:gridCol w:w="109"/>
        <w:gridCol w:w="109"/>
        <w:gridCol w:w="200"/>
        <w:gridCol w:w="569"/>
        <w:gridCol w:w="111"/>
        <w:gridCol w:w="111"/>
        <w:gridCol w:w="111"/>
        <w:gridCol w:w="111"/>
        <w:gridCol w:w="200"/>
        <w:gridCol w:w="619"/>
        <w:gridCol w:w="111"/>
        <w:gridCol w:w="109"/>
        <w:gridCol w:w="109"/>
        <w:gridCol w:w="109"/>
        <w:gridCol w:w="196"/>
        <w:gridCol w:w="556"/>
        <w:gridCol w:w="109"/>
        <w:gridCol w:w="109"/>
        <w:gridCol w:w="109"/>
        <w:gridCol w:w="109"/>
        <w:gridCol w:w="196"/>
        <w:gridCol w:w="604"/>
        <w:gridCol w:w="109"/>
        <w:gridCol w:w="496"/>
      </w:tblGrid>
      <w:tr>
        <w:trPr/>
        <w:tc>
          <w:tcPr>
            <w:tcW w:w="193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96" w:type="dxa"/>
            <w:tcBorders/>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License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firstLine="90"/>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license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distribution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that may be reclassified to profit or loss in subsequent periods: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differences on translation of foreign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*Certain prior year amounts included within other revenue have been combined into the license and other revenue line for comparative purposes. </w:t>
      </w:r>
    </w:p>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 Certain prior year amounts have been reclassified to present loss on asset impairment into the other operating expenses line for comparative purposes. </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LEGEND BIOTECH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FINANCIAL POSITION AT JUNE 30, 2026 AND DECEMBER 31, 2025 </w:t>
      </w:r>
    </w:p>
    <w:p>
      <w:pPr>
        <w:pStyle w:val="TextBody"/>
        <w:bidi w:val="0"/>
        <w:spacing w:before="240" w:after="283"/>
        <w:jc w:val="center"/>
        <w:rPr/>
      </w:pPr>
      <w:r>
        <w:rPr/>
      </w:r>
    </w:p>
    <w:tbl>
      <w:tblPr>
        <w:tblW w:w="8188" w:type="dxa"/>
        <w:jc w:val="center"/>
        <w:tblInd w:w="0" w:type="dxa"/>
        <w:tblLayout w:type="fixed"/>
        <w:tblCellMar>
          <w:top w:w="28" w:type="dxa"/>
          <w:left w:w="28" w:type="dxa"/>
          <w:bottom w:w="28" w:type="dxa"/>
          <w:right w:w="28" w:type="dxa"/>
        </w:tblCellMar>
      </w:tblPr>
      <w:tblGrid>
        <w:gridCol w:w="1718"/>
        <w:gridCol w:w="1515"/>
        <w:gridCol w:w="1522"/>
        <w:gridCol w:w="109"/>
        <w:gridCol w:w="109"/>
        <w:gridCol w:w="109"/>
        <w:gridCol w:w="109"/>
        <w:gridCol w:w="221"/>
        <w:gridCol w:w="781"/>
        <w:gridCol w:w="123"/>
        <w:gridCol w:w="109"/>
        <w:gridCol w:w="109"/>
        <w:gridCol w:w="109"/>
        <w:gridCol w:w="291"/>
        <w:gridCol w:w="1026"/>
        <w:gridCol w:w="228"/>
      </w:tblGrid>
      <w:tr>
        <w:trPr/>
        <w:tc>
          <w:tcPr>
            <w:tcW w:w="171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prepaid leases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inventories,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other receivables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1,227.4 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1,247.1 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1,750.9 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payables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payable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payables and accruals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interest-bearing advanced funding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636.4 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long term</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capital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1,002.1 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1,750.9 </w:t>
            </w:r>
          </w:p>
        </w:tc>
        <w:tc>
          <w:tcPr>
            <w:tcW w:w="1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22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LEGEND BIOTECH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INTERIM CONDENSED CONSOLIDATED STATEMENTS OF CHANGES IN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SIX MONTHS ENDED JUNE 30, 2026 AND 2025 </w:t>
      </w:r>
    </w:p>
    <w:tbl>
      <w:tblPr>
        <w:tblW w:w="10205" w:type="dxa"/>
        <w:jc w:val="center"/>
        <w:tblInd w:w="0" w:type="dxa"/>
        <w:tblLayout w:type="fixed"/>
        <w:tblCellMar>
          <w:top w:w="28" w:type="dxa"/>
          <w:left w:w="28" w:type="dxa"/>
          <w:bottom w:w="28" w:type="dxa"/>
          <w:right w:w="28" w:type="dxa"/>
        </w:tblCellMar>
      </w:tblPr>
      <w:tblGrid>
        <w:gridCol w:w="1159"/>
        <w:gridCol w:w="778"/>
        <w:gridCol w:w="782"/>
        <w:gridCol w:w="196"/>
        <w:gridCol w:w="391"/>
        <w:gridCol w:w="109"/>
        <w:gridCol w:w="109"/>
        <w:gridCol w:w="109"/>
        <w:gridCol w:w="109"/>
        <w:gridCol w:w="196"/>
        <w:gridCol w:w="706"/>
        <w:gridCol w:w="109"/>
        <w:gridCol w:w="109"/>
        <w:gridCol w:w="109"/>
        <w:gridCol w:w="109"/>
        <w:gridCol w:w="278"/>
        <w:gridCol w:w="683"/>
        <w:gridCol w:w="156"/>
        <w:gridCol w:w="109"/>
        <w:gridCol w:w="109"/>
        <w:gridCol w:w="109"/>
        <w:gridCol w:w="206"/>
        <w:gridCol w:w="601"/>
        <w:gridCol w:w="115"/>
        <w:gridCol w:w="109"/>
        <w:gridCol w:w="109"/>
        <w:gridCol w:w="109"/>
        <w:gridCol w:w="196"/>
        <w:gridCol w:w="741"/>
        <w:gridCol w:w="109"/>
        <w:gridCol w:w="109"/>
        <w:gridCol w:w="109"/>
        <w:gridCol w:w="109"/>
        <w:gridCol w:w="196"/>
        <w:gridCol w:w="706"/>
        <w:gridCol w:w="157"/>
      </w:tblGrid>
      <w:tr>
        <w:trPr/>
        <w:tc>
          <w:tcPr>
            <w:tcW w:w="115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452" w:type="dxa"/>
            <w:gridSpan w:val="24"/>
            <w:tcBorders/>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Share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Share </w:t>
              <w:br/>
              <w:t>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Share-based </w:t>
              <w:br/>
              <w:t xml:space="preserve">compensation </w:t>
              <w:b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Foreign </w:t>
              <w:br/>
              <w:t xml:space="preserve">currency </w:t>
              <w:br/>
              <w:t xml:space="preserve">translation </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 xml:space="preserve">accumulated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equity</w:t>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January 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2,696.0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74.4</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(68.2)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(1,661.7)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1,040.6</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for the period</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differences on translation of foreign operations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income/(loss) for the period</w:t>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184.9</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(41.5)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share options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vested restricted share units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2,734.4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72.3</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116.7</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(1,888.1)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1,035.4</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2,750.3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88.0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122.2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(1,958.5)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1,002.1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for the period</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differences on translation of foreign operations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loss for the period</w:t>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(21.9)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ordinary shares, net </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share options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vested restricted share units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3,014.9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72.8</w:t>
            </w: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121.4</w:t>
            </w:r>
            <w:r>
              <w:rPr>
                <w:color w:val="000000"/>
              </w:rPr>
              <w:t>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(1,979.6)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1,229.6</w:t>
            </w:r>
            <w:r>
              <w:rPr>
                <w:color w:val="000000"/>
              </w:rPr>
              <w:t>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*These reserve accounts comprise the consolidated reserves of $1,229.5 million and $1,035.3 million in the consolidated statements of financial position as at June 30, 2026 and 2025, respectively.</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LEGEND BIOTECH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INTERIM 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 AND 2025</w:t>
      </w:r>
    </w:p>
    <w:tbl>
      <w:tblPr>
        <w:tblW w:w="7064" w:type="dxa"/>
        <w:jc w:val="center"/>
        <w:tblInd w:w="0" w:type="dxa"/>
        <w:tblLayout w:type="fixed"/>
        <w:tblCellMar>
          <w:top w:w="28" w:type="dxa"/>
          <w:left w:w="28" w:type="dxa"/>
          <w:bottom w:w="28" w:type="dxa"/>
          <w:right w:w="28" w:type="dxa"/>
        </w:tblCellMar>
      </w:tblPr>
      <w:tblGrid>
        <w:gridCol w:w="1545"/>
        <w:gridCol w:w="1362"/>
        <w:gridCol w:w="1368"/>
        <w:gridCol w:w="109"/>
        <w:gridCol w:w="109"/>
        <w:gridCol w:w="109"/>
        <w:gridCol w:w="109"/>
        <w:gridCol w:w="196"/>
        <w:gridCol w:w="631"/>
        <w:gridCol w:w="109"/>
        <w:gridCol w:w="109"/>
        <w:gridCol w:w="109"/>
        <w:gridCol w:w="109"/>
        <w:gridCol w:w="196"/>
        <w:gridCol w:w="631"/>
        <w:gridCol w:w="109"/>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for: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inventory reserve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exchange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Decrease/(increase) in trade receivables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prepayments, other receivables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collaboration inventories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(Decrease)/increase in trade payables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other payables and accruals**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received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paid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*Certain prior year amounts including loss on impairment, loss on disposal of PPE (Property, Plant, and Equipment), amortization of intangible assets, and deferred government grant have been grouped into the other, net line item for comparative purposes.</w:t>
      </w:r>
    </w:p>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**Certain prior year amounts including interest on lease payments have been grouped into decrease in other payables and accruals.</w:t>
      </w:r>
    </w:p>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***Certain prior year amounts including decrease/(increase) in other non-current assets, government grant received, increase/(decrease) in other non-current liabilities, and increase in pledged deposits, net have been grouped into the other assets and liabilities, net line item for comparative purposes. </w:t>
      </w:r>
    </w:p>
    <w:p>
      <w:pPr>
        <w:pStyle w:val="TextBody"/>
        <w:bidi w:val="0"/>
        <w:spacing w:before="240" w:after="283"/>
        <w:jc w:val="left"/>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interim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LEGEND BIOTECH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INTERIM CONDENSED 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 AND 2025</w:t>
      </w:r>
    </w:p>
    <w:tbl>
      <w:tblPr>
        <w:tblW w:w="8097" w:type="dxa"/>
        <w:jc w:val="center"/>
        <w:tblInd w:w="0" w:type="dxa"/>
        <w:tblLayout w:type="fixed"/>
        <w:tblCellMar>
          <w:top w:w="28" w:type="dxa"/>
          <w:left w:w="28" w:type="dxa"/>
          <w:bottom w:w="28" w:type="dxa"/>
          <w:right w:w="28" w:type="dxa"/>
        </w:tblCellMar>
      </w:tblPr>
      <w:tblGrid>
        <w:gridCol w:w="1969"/>
        <w:gridCol w:w="1734"/>
        <w:gridCol w:w="1742"/>
        <w:gridCol w:w="109"/>
        <w:gridCol w:w="109"/>
        <w:gridCol w:w="109"/>
        <w:gridCol w:w="109"/>
        <w:gridCol w:w="196"/>
        <w:gridCol w:w="556"/>
        <w:gridCol w:w="109"/>
        <w:gridCol w:w="109"/>
        <w:gridCol w:w="109"/>
        <w:gridCol w:w="109"/>
        <w:gridCol w:w="199"/>
        <w:gridCol w:w="566"/>
        <w:gridCol w:w="109"/>
        <w:gridCol w:w="154"/>
      </w:tblGrid>
      <w:tr>
        <w:trPr/>
        <w:tc>
          <w:tcPr>
            <w:tcW w:w="196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to collaborator for collaboration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time deposits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maturity of time deposits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in)/provided by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ordinary shares,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share options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portion of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ANALYSIS OF BALANCES OF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bank balances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Pledged deposits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stated in the statement of financial position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repayment of debt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630"/>
        <w:jc w:val="left"/>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LEGEND BIOTECH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UNAUDITED INTERIM CONDENSED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1. CORPORATE INFORMATION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Legend Biotech Corporation ("Legend") was incorporated on May 27, 2015 as an exempted company in the Cayman Islands with limited liability under the Companies Act (As Revised) of the Cayman Islands. The registered office address of Legend is PO Box 10240, Harbour Place, 103 South Church Street, George Town, Grand Cayman KY1-1002, Cayman Islands.</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Legend is an investment holding company. Legend's subsidiaries are principally engaged in the discovery, development, manufacturing and commercialization of novel cell therapies for oncology and other indications.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2.1. BASIS OF PREPARATION </w:t>
      </w:r>
    </w:p>
    <w:p>
      <w:pPr>
        <w:pStyle w:val="TextBody"/>
        <w:bidi w:val="0"/>
        <w:spacing w:lineRule="auto" w:line="268" w:before="120" w:after="283"/>
        <w:ind w:left="0" w:right="0" w:firstLine="720"/>
        <w:jc w:val="both"/>
        <w:rPr/>
      </w:pPr>
      <w:r>
        <w:rPr>
          <w:rFonts w:ascii="Times New Roman;serif" w:hAnsi="Times New Roman;serif"/>
          <w:b w:val="false"/>
          <w:color w:val="000000"/>
          <w:sz w:val="20"/>
        </w:rPr>
        <w:t xml:space="preserve">The unaudited interim condensed consolidated financial statements of Legend and its subsidiaries (collectively referred to as the “Company”) for the three and six months ended June 30, 2026 have been prepared in accordance with International Accounting Standard (“IAS”) 34 </w:t>
      </w:r>
      <w:r>
        <w:rPr>
          <w:rFonts w:ascii="Times New Roman;serif" w:hAnsi="Times New Roman;serif"/>
          <w:b w:val="false"/>
          <w:i/>
          <w:color w:val="000000"/>
          <w:sz w:val="20"/>
        </w:rPr>
        <w:t xml:space="preserve">Interim Financial Reporting </w:t>
      </w:r>
      <w:r>
        <w:rPr>
          <w:rFonts w:ascii="Times New Roman;serif" w:hAnsi="Times New Roman;serif"/>
          <w:b w:val="false"/>
          <w:color w:val="000000"/>
          <w:sz w:val="20"/>
        </w:rPr>
        <w:t>(“IAS34”) issued by the International Accounting Standards Board (the “IASB”).</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accounting policies and basis of preparation adopted in the preparation of these unaudited interim condensed consolidated financial statements are consistent with those followed in the preparation of the Company's financial statements for the year ended December 31, 2025. The interim condensed consolidated financial statements do not include all the information and disclosures required in the annual financial statements, and should be read in conjunction with the Company’s annual consolidated financial statements as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2.2. NEW STANDARDS, INTERPRETATIONS AND AMENDMENTS ADOPTED BY THE COMPANY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new International Financial Reporting Standards (“IFRS”), amendments or interpretations issued by the IASB that became effective in the six months ended June 30, 2026 that had a material impact on the Company's unaudited interim condensed consolidated financial statements.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not early adopted any other standard, interpretation or amendment that has been issued but is not yet effective.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analysis of revenue is as follows: </w:t>
      </w:r>
    </w:p>
    <w:tbl>
      <w:tblPr>
        <w:tblW w:w="8376" w:type="dxa"/>
        <w:jc w:val="left"/>
        <w:tblInd w:w="0" w:type="dxa"/>
        <w:tblLayout w:type="fixed"/>
        <w:tblCellMar>
          <w:top w:w="28" w:type="dxa"/>
          <w:left w:w="28" w:type="dxa"/>
          <w:bottom w:w="28" w:type="dxa"/>
          <w:right w:w="28" w:type="dxa"/>
        </w:tblCellMar>
      </w:tblPr>
      <w:tblGrid>
        <w:gridCol w:w="1296"/>
        <w:gridCol w:w="1142"/>
        <w:gridCol w:w="1147"/>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License revenue - Novartis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License revenue - Janssen</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License revenue - Related party sublicense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revenue</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 - total</w:t>
            </w:r>
          </w:p>
        </w:tc>
        <w:tc>
          <w:tcPr>
            <w:tcW w:w="8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analysis of revenue by geographic area is as follows. The revenue information is based on the locations of the customers.</w:t>
      </w:r>
    </w:p>
    <w:tbl>
      <w:tblPr>
        <w:tblW w:w="7896" w:type="dxa"/>
        <w:jc w:val="left"/>
        <w:tblInd w:w="0" w:type="dxa"/>
        <w:tblLayout w:type="fixed"/>
        <w:tblCellMar>
          <w:top w:w="28" w:type="dxa"/>
          <w:left w:w="28" w:type="dxa"/>
          <w:bottom w:w="28" w:type="dxa"/>
          <w:right w:w="28" w:type="dxa"/>
        </w:tblCellMar>
      </w:tblPr>
      <w:tblGrid>
        <w:gridCol w:w="1123"/>
        <w:gridCol w:w="989"/>
        <w:gridCol w:w="993"/>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License and other revenue</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Outside the United States of America</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license and other revenue</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Collaboration revenue</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Outside the United States of America</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collaboration revenue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540"/>
        <w:jc w:val="left"/>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analysis of the timing of transfer of goods or services is as follows: </w:t>
      </w:r>
    </w:p>
    <w:tbl>
      <w:tblPr>
        <w:tblW w:w="7056" w:type="dxa"/>
        <w:jc w:val="left"/>
        <w:tblInd w:w="0" w:type="dxa"/>
        <w:tblLayout w:type="fixed"/>
        <w:tblCellMar>
          <w:top w:w="28" w:type="dxa"/>
          <w:left w:w="28" w:type="dxa"/>
          <w:bottom w:w="28" w:type="dxa"/>
          <w:right w:w="28" w:type="dxa"/>
        </w:tblCellMar>
      </w:tblPr>
      <w:tblGrid>
        <w:gridCol w:w="818"/>
        <w:gridCol w:w="722"/>
        <w:gridCol w:w="725"/>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at a point in time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over time*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*All revenue streams are recognized at a point in time except for License Revenue for Novartis which is recognized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4. OTHER EXPENSE, NET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other expense, net:</w:t>
      </w:r>
    </w:p>
    <w:tbl>
      <w:tblPr>
        <w:tblW w:w="7834" w:type="dxa"/>
        <w:jc w:val="left"/>
        <w:tblInd w:w="0" w:type="dxa"/>
        <w:tblLayout w:type="fixed"/>
        <w:tblCellMar>
          <w:top w:w="28" w:type="dxa"/>
          <w:left w:w="28" w:type="dxa"/>
          <w:bottom w:w="28" w:type="dxa"/>
          <w:right w:w="28" w:type="dxa"/>
        </w:tblCellMar>
      </w:tblPr>
      <w:tblGrid>
        <w:gridCol w:w="1122"/>
        <w:gridCol w:w="989"/>
        <w:gridCol w:w="993"/>
        <w:gridCol w:w="219"/>
        <w:gridCol w:w="499"/>
        <w:gridCol w:w="113"/>
        <w:gridCol w:w="113"/>
        <w:gridCol w:w="113"/>
        <w:gridCol w:w="113"/>
        <w:gridCol w:w="219"/>
        <w:gridCol w:w="717"/>
        <w:gridCol w:w="113"/>
        <w:gridCol w:w="109"/>
        <w:gridCol w:w="109"/>
        <w:gridCol w:w="109"/>
        <w:gridCol w:w="211"/>
        <w:gridCol w:w="481"/>
        <w:gridCol w:w="109"/>
        <w:gridCol w:w="109"/>
        <w:gridCol w:w="109"/>
        <w:gridCol w:w="109"/>
        <w:gridCol w:w="211"/>
        <w:gridCol w:w="691"/>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Foreign currency exchange loss, net</w:t>
            </w:r>
            <w:r>
              <w:rPr>
                <w:rFonts w:ascii="Times New Roman;serif" w:hAnsi="Times New Roman;serif"/>
                <w:b w:val="false"/>
                <w:color w:val="000000"/>
                <w:sz w:val="13"/>
              </w:rPr>
              <w:t>*</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lineRule="auto" w:line="268" w:before="0" w:after="20"/>
        <w:jc w:val="both"/>
        <w:rPr/>
      </w:pPr>
      <w:r>
        <w:rPr>
          <w:rFonts w:ascii="Times New Roman;serif" w:hAnsi="Times New Roman;serif"/>
          <w:b w:val="false"/>
          <w:color w:val="000000"/>
          <w:sz w:val="13"/>
        </w:rPr>
        <w:t>*</w:t>
      </w:r>
      <w:r>
        <w:rPr>
          <w:rFonts w:ascii="Times New Roman;serif" w:hAnsi="Times New Roman;serif"/>
          <w:b w:val="false"/>
          <w:color w:val="000000"/>
          <w:sz w:val="20"/>
        </w:rPr>
        <w:t>Foreign currency exchange loss is primarily remeasurement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5. EARNINGS (LOSS) PER SHARE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basic earnings or loss per share is calculated by dividing net income or loss by the weighted average ordinary shares outstanding during the reporting period. The diluted earnings per share is calculated on the basis of the weighted average number of ordinary shares, using the treasury stock method. The dilutive effect was computed assuming exercise or conversion of all potential dilutive securities including stock options and restricted stock units.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diluted loss per share equals the basic loss per share amounts, as the impact of the outstanding share options and restricted stock units had an anti-dilutive effect on the basic loss per share amounts.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calculations of basic and diluted earnings (loss) per share are based on: </w:t>
      </w:r>
    </w:p>
    <w:tbl>
      <w:tblPr>
        <w:tblW w:w="8043" w:type="dxa"/>
        <w:jc w:val="left"/>
        <w:tblInd w:w="0" w:type="dxa"/>
        <w:tblLayout w:type="fixed"/>
        <w:tblCellMar>
          <w:top w:w="28" w:type="dxa"/>
          <w:left w:w="28" w:type="dxa"/>
          <w:bottom w:w="28" w:type="dxa"/>
          <w:right w:w="28" w:type="dxa"/>
        </w:tblCellMar>
      </w:tblPr>
      <w:tblGrid>
        <w:gridCol w:w="1162"/>
        <w:gridCol w:w="1020"/>
        <w:gridCol w:w="1028"/>
        <w:gridCol w:w="216"/>
        <w:gridCol w:w="523"/>
        <w:gridCol w:w="111"/>
        <w:gridCol w:w="111"/>
        <w:gridCol w:w="111"/>
        <w:gridCol w:w="111"/>
        <w:gridCol w:w="216"/>
        <w:gridCol w:w="707"/>
        <w:gridCol w:w="111"/>
        <w:gridCol w:w="109"/>
        <w:gridCol w:w="109"/>
        <w:gridCol w:w="109"/>
        <w:gridCol w:w="211"/>
        <w:gridCol w:w="586"/>
        <w:gridCol w:w="109"/>
        <w:gridCol w:w="109"/>
        <w:gridCol w:w="109"/>
        <w:gridCol w:w="109"/>
        <w:gridCol w:w="211"/>
        <w:gridCol w:w="691"/>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Company as a lessee</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leases for office, research laboratory and manufacturing facilities, equipment, vehicles, and land. The terms of the leases vary, although most generally have lease terms between 3 and 29 years. Lump sum payments were made upfront to acquire the leasehold land from the owners with lease periods of 50 years, and no ongoing payments will be made under the terms of these leasehold land arrangements. Leases with terms of 12 months or less are expensed as incurred. Collaboration assets represent the Company’s share of assets leased to the collaboration from Janssen Biotech, Inc., a Johnson &amp; Johnson company ("Janssen"), which purchased the assets on behalf of the collaboration, in connection with the Company's collaboration and license agreement (the "Janssen Agreement"). Collaboration assets under construction that will be leased to the collaboration from Janssen when placed into service are classified as collaboration prepaid leases on the consolidated financial statements.</w:t>
      </w:r>
    </w:p>
    <w:p>
      <w:pPr>
        <w:pStyle w:val="TextBody"/>
        <w:bidi w:val="0"/>
        <w:spacing w:lineRule="auto" w:line="288" w:before="3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(a)Right-of-use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right-of-use assets and the movements for the six months ended June 30, 2026 are as follows:</w:t>
      </w:r>
    </w:p>
    <w:tbl>
      <w:tblPr>
        <w:tblW w:w="4487" w:type="dxa"/>
        <w:jc w:val="left"/>
        <w:tblInd w:w="0" w:type="dxa"/>
        <w:tblLayout w:type="fixed"/>
        <w:tblCellMar>
          <w:top w:w="28" w:type="dxa"/>
          <w:left w:w="28" w:type="dxa"/>
          <w:bottom w:w="28" w:type="dxa"/>
          <w:right w:w="28" w:type="dxa"/>
        </w:tblCellMar>
      </w:tblPr>
      <w:tblGrid>
        <w:gridCol w:w="1149"/>
        <w:gridCol w:w="1013"/>
        <w:gridCol w:w="1017"/>
        <w:gridCol w:w="109"/>
        <w:gridCol w:w="109"/>
        <w:gridCol w:w="109"/>
        <w:gridCol w:w="211"/>
        <w:gridCol w:w="616"/>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realignment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(b)Lease liabilities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the commencement date of the lease, the Company recognizes lease liabilities measured at the present value of lease payments to be made over the lease term. The balance of the Company’s lease liabilities and the movements for the six months ended June 30, 2026 are as follows:</w:t>
      </w:r>
    </w:p>
    <w:tbl>
      <w:tblPr>
        <w:tblW w:w="5477" w:type="dxa"/>
        <w:jc w:val="left"/>
        <w:tblInd w:w="0" w:type="dxa"/>
        <w:tblLayout w:type="fixed"/>
        <w:tblCellMar>
          <w:top w:w="28" w:type="dxa"/>
          <w:left w:w="28" w:type="dxa"/>
          <w:bottom w:w="28" w:type="dxa"/>
          <w:right w:w="28" w:type="dxa"/>
        </w:tblCellMar>
      </w:tblPr>
      <w:tblGrid>
        <w:gridCol w:w="1507"/>
        <w:gridCol w:w="1328"/>
        <w:gridCol w:w="1334"/>
        <w:gridCol w:w="109"/>
        <w:gridCol w:w="109"/>
        <w:gridCol w:w="109"/>
        <w:gridCol w:w="211"/>
        <w:gridCol w:w="616"/>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interest recognized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realignment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Analyzed into: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 lease that commenced in February 2026, with Janssen located in Raritan, New Jersey. The Company expects to receive 50% of the future lease payments from Janssen from profit sharing under the Janssen Agreement. At inception, the Company recognized the full lease liability of approximately $30.6 million, rather than only its share because the Company has the primary responsibility for making the lease payments. A finance sublease receivable of approximately $15.3 million is subsequently recognized when the related right-of-use asset is subleased to the collaboration. The total sublease receivable of $15.3 million has been classified in prepayments, other receivables and other assets of $1.8 million, and other non-current assets of $13.5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COLLABORATION INVENTORIES, NET</w:t>
      </w:r>
    </w:p>
    <w:tbl>
      <w:tblPr>
        <w:tblW w:w="5297" w:type="dxa"/>
        <w:jc w:val="left"/>
        <w:tblInd w:w="0" w:type="dxa"/>
        <w:tblLayout w:type="fixed"/>
        <w:tblCellMar>
          <w:top w:w="28" w:type="dxa"/>
          <w:left w:w="28" w:type="dxa"/>
          <w:bottom w:w="28" w:type="dxa"/>
          <w:right w:w="28" w:type="dxa"/>
        </w:tblCellMar>
      </w:tblPr>
      <w:tblGrid>
        <w:gridCol w:w="1084"/>
        <w:gridCol w:w="956"/>
        <w:gridCol w:w="960"/>
        <w:gridCol w:w="211"/>
        <w:gridCol w:w="511"/>
        <w:gridCol w:w="109"/>
        <w:gridCol w:w="109"/>
        <w:gridCol w:w="109"/>
        <w:gridCol w:w="109"/>
        <w:gridCol w:w="274"/>
        <w:gridCol w:w="665"/>
        <w:gridCol w:w="200"/>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collaboration inventories,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reserve for inventory was $14.2 million and $18.7 million as of June 30, 2026 and December 31, 2025, respectively. The Company’s reserve for inventory was primarily related to certain batches or units of product that did not meet quality specifications, and expired materials. The inventory reserve was included in the collaboration cost of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PREPAYMENTS, OTHER RECEIVABLES AND OTHER ASSETS</w:t>
      </w:r>
    </w:p>
    <w:tbl>
      <w:tblPr>
        <w:tblW w:w="5073" w:type="dxa"/>
        <w:jc w:val="left"/>
        <w:tblInd w:w="0" w:type="dxa"/>
        <w:tblLayout w:type="fixed"/>
        <w:tblCellMar>
          <w:top w:w="28" w:type="dxa"/>
          <w:left w:w="28" w:type="dxa"/>
          <w:bottom w:w="28" w:type="dxa"/>
          <w:right w:w="28" w:type="dxa"/>
        </w:tblCellMar>
      </w:tblPr>
      <w:tblGrid>
        <w:gridCol w:w="965"/>
        <w:gridCol w:w="851"/>
        <w:gridCol w:w="854"/>
        <w:gridCol w:w="211"/>
        <w:gridCol w:w="616"/>
        <w:gridCol w:w="109"/>
        <w:gridCol w:w="109"/>
        <w:gridCol w:w="109"/>
        <w:gridCol w:w="109"/>
        <w:gridCol w:w="245"/>
        <w:gridCol w:w="716"/>
        <w:gridCol w:w="179"/>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collaboration receivables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VAT recoverable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 of the above assets is either past due or impaired. The financial assets included in the above balances relate to receivables for which there was no recent history of default. The Company estimated that the expected credit loss for the above receivables as at June 30, 2026 and December 31, 2025 is insignificant.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60" w:after="283"/>
        <w:jc w:val="both"/>
        <w:rPr>
          <w:rFonts w:ascii="Times New Roman;serif" w:hAnsi="Times New Roman;serif"/>
          <w:b/>
          <w:color w:val="000000"/>
          <w:sz w:val="20"/>
        </w:rPr>
      </w:pPr>
      <w:r>
        <w:rPr>
          <w:rFonts w:ascii="Times New Roman;serif" w:hAnsi="Times New Roman;serif"/>
          <w:b/>
          <w:color w:val="000000"/>
          <w:sz w:val="20"/>
        </w:rPr>
        <w:t>9. INCOME TAX</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income tax on an entity basis on profits arising in or derived from the jurisdictions in which Legend and its subsidiaries are domiciled and operate. The Company had an income tax expense of $23.5 million for the six months ended June 30, 2026 compared to an income tax expense of $2.4 million for the six months ended June 30, 2025. The year-over-year increase was primarily driven by an increase in taxable income across Legend Biotech's U.S., Belgium and People's Republic of China ("PRC") entities. The Company continues to negotiate an advance pricing agreement with the Chinese Tax Authority, which will determine a transfer pricing methodology between the Company's legal entities. Although a formal agreement has not yet been executed, the Company has reflected management's best estimate of the expected tax consequences including the cumulative impact of a change in estimate based on the information available as of June 30, 2026.</w:t>
      </w:r>
    </w:p>
    <w:p>
      <w:pPr>
        <w:pStyle w:val="TextBody"/>
        <w:bidi w:val="0"/>
        <w:spacing w:lineRule="auto" w:line="276"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the Company has accrued for matters management believes are probable and estimable, the final outcome with a tax authority may result in a tax liability that is materially different from that reflected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10. COLLABORATION INTEREST-BEARING ADVANCED FUNDING </w:t>
      </w:r>
    </w:p>
    <w:tbl>
      <w:tblPr>
        <w:tblW w:w="7451" w:type="dxa"/>
        <w:jc w:val="left"/>
        <w:tblInd w:w="0" w:type="dxa"/>
        <w:tblLayout w:type="fixed"/>
        <w:tblCellMar>
          <w:top w:w="28" w:type="dxa"/>
          <w:left w:w="28" w:type="dxa"/>
          <w:bottom w:w="28" w:type="dxa"/>
          <w:right w:w="28" w:type="dxa"/>
        </w:tblCellMar>
      </w:tblPr>
      <w:tblGrid>
        <w:gridCol w:w="1478"/>
        <w:gridCol w:w="1299"/>
        <w:gridCol w:w="1317"/>
        <w:gridCol w:w="447"/>
        <w:gridCol w:w="447"/>
        <w:gridCol w:w="1116"/>
        <w:gridCol w:w="109"/>
        <w:gridCol w:w="109"/>
        <w:gridCol w:w="109"/>
        <w:gridCol w:w="219"/>
        <w:gridCol w:w="641"/>
        <w:gridCol w:w="160"/>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Effective 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interest-bearing advanced funding</w:t>
            </w:r>
          </w:p>
        </w:tc>
        <w:tc>
          <w:tcPr>
            <w:tcW w:w="89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1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Janssen Agreement, the Company received advances from Janssen over time ("Funding Advances"). These Funding Advances are accounted for as interest-bearing borrowings funded by Janssen, constituted by a principal amounting to $250.0 million and applicable interests accrued amounting to $77.2 million upon such principal as of June 30, 2026. The respective interest rate of each borrowing has transitioned from London Interbank Offered Rate (LIBOR) to Secured Overnight Financing Rate (SOFR) in accordance with the LIBOR ACT. Thus, outstanding Funding Advances accrue interest at 12 month CME term SOFR plus LIBOR/SOFR adjustment (12 month) plus a margin of 2.5%.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is no specific maturity date for the Funding Advances. However, pursuant to the terms of the Janssen Agreement, Janssen may recoup the aggregate amount of Funding Advances, together with interest thereon, from Company’s share of pre-tax profits starting from the first calendar quarter following the first profitable year of the collaboration program and, subject to some limitations, from milestone payments due to the Company under the Janssen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2026, the Company reduced its collaboration advanced funding principal balance by $170.8 million by either offsetting it with the pre-tax profit receivable or repayment in the six month period, which resulted in an outstanding principal balance of $79.2 million and outstanding accrued interest balance of $77.2 million, in each case as of June 30, 2026. As of June 30, 2026, the Company estimated that the entire balance of $156.4 million (inclusive of both principal and interest) would be recouped by Janssen within the next 12 months, and therefore such amount was classified as a current liability.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interest for collaboration interest-bearing advanced funding was $3.9 million and $4.5 million for the three months ended June 30, 2026, and 2025, respectively, and $8.1 million and $9.1 million for the six months ended June 30, 2026, and 2025, respectively. These amounts are included in Finance costs on the consolidated statement of profit or loss and other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11. SHARE CAPITAL AND SHARE PREMIUM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Shares</w:t>
      </w:r>
    </w:p>
    <w:tbl>
      <w:tblPr>
        <w:tblW w:w="8035" w:type="dxa"/>
        <w:jc w:val="left"/>
        <w:tblInd w:w="0" w:type="dxa"/>
        <w:tblLayout w:type="fixed"/>
        <w:tblCellMar>
          <w:top w:w="28" w:type="dxa"/>
          <w:left w:w="28" w:type="dxa"/>
          <w:bottom w:w="28" w:type="dxa"/>
          <w:right w:w="28" w:type="dxa"/>
        </w:tblCellMar>
      </w:tblPr>
      <w:tblGrid>
        <w:gridCol w:w="2117"/>
        <w:gridCol w:w="1858"/>
        <w:gridCol w:w="1874"/>
        <w:gridCol w:w="239"/>
        <w:gridCol w:w="239"/>
        <w:gridCol w:w="241"/>
        <w:gridCol w:w="109"/>
        <w:gridCol w:w="109"/>
        <w:gridCol w:w="109"/>
        <w:gridCol w:w="334"/>
        <w:gridCol w:w="334"/>
        <w:gridCol w:w="472"/>
      </w:tblGrid>
      <w:tr>
        <w:trPr/>
        <w:tc>
          <w:tcPr>
            <w:tcW w:w="2117"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 except share and per share data)</w:t>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849"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w:t>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2,000,000,000 ordinary shares of $0.0001 each</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Issued and fully paid:</w:t>
            </w:r>
          </w:p>
        </w:tc>
        <w:tc>
          <w:tcPr>
            <w:tcW w:w="7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387,538,923 and (2025: 369,886,369) ordinary shares of $0.0001 each</w:t>
            </w:r>
          </w:p>
        </w:tc>
        <w:tc>
          <w:tcPr>
            <w:tcW w:w="47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movements in the Company’s share capital and share premium is as follows:</w:t>
      </w:r>
    </w:p>
    <w:tbl>
      <w:tblPr>
        <w:tblW w:w="9681" w:type="dxa"/>
        <w:jc w:val="left"/>
        <w:tblInd w:w="0" w:type="dxa"/>
        <w:tblLayout w:type="fixed"/>
        <w:tblCellMar>
          <w:top w:w="28" w:type="dxa"/>
          <w:left w:w="28" w:type="dxa"/>
          <w:bottom w:w="28" w:type="dxa"/>
          <w:right w:w="28" w:type="dxa"/>
        </w:tblCellMar>
      </w:tblPr>
      <w:tblGrid>
        <w:gridCol w:w="1520"/>
        <w:gridCol w:w="1334"/>
        <w:gridCol w:w="1346"/>
        <w:gridCol w:w="593"/>
        <w:gridCol w:w="593"/>
        <w:gridCol w:w="371"/>
        <w:gridCol w:w="109"/>
        <w:gridCol w:w="109"/>
        <w:gridCol w:w="109"/>
        <w:gridCol w:w="211"/>
        <w:gridCol w:w="406"/>
        <w:gridCol w:w="109"/>
        <w:gridCol w:w="109"/>
        <w:gridCol w:w="109"/>
        <w:gridCol w:w="109"/>
        <w:gridCol w:w="211"/>
        <w:gridCol w:w="766"/>
        <w:gridCol w:w="109"/>
        <w:gridCol w:w="109"/>
        <w:gridCol w:w="109"/>
        <w:gridCol w:w="109"/>
        <w:gridCol w:w="211"/>
        <w:gridCol w:w="76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 except share and per share data)</w:t>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 in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w:t>
              <w:br/>
              <w:t>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and January 1, 2026</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369,886,369 </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net</w:t>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share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454,296 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vesting of restricted share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1,798,258 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 June 30, 2026</w:t>
            </w:r>
          </w:p>
        </w:tc>
        <w:tc>
          <w:tcPr>
            <w:tcW w:w="155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387,538,923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17, 2026, Legend entered into an Underwriting Agreement (the “Underwriting Agreement”) with Morgan Stanley Asia Limited, Jefferies LLC, and Citigroup Global Markets Inc., as representatives of the several underwriters named therein (the “Underwriters”), relating to the underwritten public offering (the “2026 Offering”) of 7,700,000 ADS, representing 15,400,000 ordinary shares, at a price to the public of $29.35 per ADS. The 2026 Offering closed on June 23, 2026, resulting in net proceeds of $212.4 million, after the deduction of underwriting discounts and commissions and directly attributable issuance costs of $13.6 million, which were recorded as a reduction of share premium. The Underwriters 30-day option to purchase up to 1,155,000 additional ADSs at the public offering price pursuant to the Underwriting Agreement, less the underwriting discounts and commissions, expired unexercised on July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OTHER PAYABLES AND ACCRUALS</w:t>
      </w:r>
    </w:p>
    <w:tbl>
      <w:tblPr>
        <w:tblW w:w="6512" w:type="dxa"/>
        <w:jc w:val="left"/>
        <w:tblInd w:w="0" w:type="dxa"/>
        <w:tblLayout w:type="fixed"/>
        <w:tblCellMar>
          <w:top w:w="28" w:type="dxa"/>
          <w:left w:w="28" w:type="dxa"/>
          <w:bottom w:w="28" w:type="dxa"/>
          <w:right w:w="28" w:type="dxa"/>
        </w:tblCellMar>
      </w:tblPr>
      <w:tblGrid>
        <w:gridCol w:w="1485"/>
        <w:gridCol w:w="1309"/>
        <w:gridCol w:w="1315"/>
        <w:gridCol w:w="211"/>
        <w:gridCol w:w="616"/>
        <w:gridCol w:w="109"/>
        <w:gridCol w:w="109"/>
        <w:gridCol w:w="109"/>
        <w:gridCol w:w="109"/>
        <w:gridCol w:w="245"/>
        <w:gridCol w:w="716"/>
        <w:gridCol w:w="179"/>
      </w:tblGrid>
      <w:tr>
        <w:trPr/>
        <w:tc>
          <w:tcPr>
            <w:tcW w:w="148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employee-related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payables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payable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*Certain prior year amounts included within accrued payroll have been reclassified to accrued payroll and employee-related expenses for comparative purposes.</w:t>
      </w:r>
    </w:p>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**Certain prior year amounts included within accrued expenses, other payables and other tax payables have been reclassified to accrued expenses and other payables for comparative purposes. </w:t>
      </w:r>
    </w:p>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***Certain prior year amounts included within payable for collaboration assets have been grouped into the collaboration payable line for comparative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13. APPROVAL OF THE INTERIM CONDENSED CONSOLIDATED FINANCIAL STATEMENTS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condensed consolidated financial statements were approved and authorized for issue by the Audit Committee of the Board of Directors on August 5,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360" w:after="283"/>
        <w:jc w:val="right"/>
        <w:rPr>
          <w:rFonts w:ascii="Times New Roman;serif" w:hAnsi="Times New Roman;serif"/>
          <w:b/>
          <w:color w:val="000000"/>
          <w:sz w:val="22"/>
        </w:rPr>
      </w:pPr>
      <w:r>
        <w:rPr>
          <w:rFonts w:ascii="Times New Roman;serif" w:hAnsi="Times New Roman;serif"/>
          <w:b/>
          <w:color w:val="000000"/>
          <w:sz w:val="22"/>
        </w:rPr>
        <w:t>Exhibit 99.3</w:t>
      </w:r>
    </w:p>
    <w:p>
      <w:pPr>
        <w:pStyle w:val="TextBody"/>
        <w:bidi w:val="0"/>
        <w:spacing w:before="0" w:after="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this Management’s Discussion and Analysis of Financial Condition and Results of Operations ("MD&amp;A"), unless otherwise indicated or the context otherwise requires, “we,” “us,” “our,” the “Company” and “Legend Biotech” refer to Legend Biotech Corporation and its consolidated subsidiaries. “Legend Biotech,” the Legend logo and other trademarks or service marks of the Company appearing in this MD&amp;A are the property of the Company. Solely for convenience, the trademarks, service marks and trade names referred to in this MD&amp;A are without the ®, ™ and other similar symbols, but such references are not intended to indicate, in any way, that we will not assert, to the fullest extent under applicable law, our rights or the rights of the applicable licensors to these trademarks, service marks and trade names. CARVYKTI is a registered trademark in the United States of Johnson &amp; Johnson. Other trade names, trademarks and service marks of other companies appearing in this MD&amp;A are the property of their respective holders. We do not intend our use or display of other companies’ trademarks, service marks or trade names to imply a relationship with, or endorsement or sponsorship of us by, any other person.</w:t>
      </w: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Management’s Discussion and Analysis of Financial Condition and Results of Operations</w:t>
      </w:r>
    </w:p>
    <w:p>
      <w:pPr>
        <w:pStyle w:val="TextBody"/>
        <w:bidi w:val="0"/>
        <w:spacing w:lineRule="auto" w:line="288" w:before="36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interim condensed consolidated financial statements and the accompanying notes.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This MD&amp;A contains forward-looking statements within the meaning of Section 27A of the Securities Act of 1933, as amended, or the Securities Act, and Section 21E of the Securities Exchange Act of 1934, as amended, or the Exchange Act. All statements other than statements of present and historical facts and conditions are forward-looking statements. Forward-looking statements can often be identified by words or phrases, such as “may,” “will,” “expect,” “anticipate,” “aim,” “estimate,” “intend,” “plan,” “believe,” “is/are likely to,” “potential,” “continue” or other similar expressions. Such forward-looking statements reflect our current expectations and views of future events, but are not assurances of future performance. Instead, they are based on our current beliefs, expectations and assumptions regarding the future of our business, future plans and strategies, our financial needs, our operational results and other future conditions. These forward-looking statements involve various risks and uncertainties. Many important factors may adversely affect such forward-looking statements and cause actual results to differ from those in any forward-looking statement, including, without limitation,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the impact of U.S. or foreign laws and regulations on our operations, including the impact of tariffs and tax laws; competition in general; government, industry, and general product pricing and other political pressures; commercialization factors, including regulatory approval and pricing determinations; disruptions to access to raw materials; delays or disruptions at manufacturing facilities; proliferation and continuous evolution of new technologies; dislocations in the capital markets; and other important factors described under “Risk Factors” in our Annual Report on Form 20-F for the year ended December 31, 2025 filed with the Securities and Exchange Commission on March 10, 2026 (the “Annual Report”) and under “Risk Factors” in any other reports that we file with the Securities and Exchange Commission. As a result of these factors, we cannot assure you that the forward-looking statements in this interim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In addition, even if our results of operations, financial condition and liquidity are consistent with the forward-looking statements contained in this report, those results or developments may not be indicative of results or developments in subsequent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3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global biopharmaceutical company engaged in the discovery, development, manufacturing and commercialization of novel cell therapies for oncology and other indications. Our team of approximately 3,200 employees in the United States, China and Europe, our differentiated technology, as well as our global development and manufacturing expertise provide us with the ability to generate, test and manufacture next-generation cell therapies targeting indications with high unmet needs. Our lead product candidate, ciltacabtagene autoleucel, ("cilta-cel") (referred to as LCAR- B38M for purposes of our LEGEND-2 trial), is a CAR-T cell therapy we are jointly developing with our strategic partner, Janssen Biotech, Inc., a Johnson &amp; Johnson company ("Janssen"), for the treatment of multiple myeloma (“MM”). Clinical trial results achieved to date demonstrate that cilta-cel is the first CAR-T cell therapy to demonstrate overall survival benefit when compared to standard therapies in patients with relapsed and refractory multiple myeloma ("RRMM") with a manageable safety profile.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28, 2022, cilta-cel was approved by the U.S. Food and Drug Administration (the “FDA”) under the trademark CARVYKTI for the treatment of adults with RRMM who have received four or more prior lines of therapy, including a proteasome inhibitor, an immunomodulatory agent, and an anti-CD38 monoclonal antibody. In April 2024, the FDA approved CARVYKTI for the treatment of patients with RRMM who have received at least one prior line of therapy, including proteasome inhibitor, and an immunomodulatory agent, and are refractory to lenalidomide. CARVYKTI is our first and only product approved by a health authority.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Recent Business Developments</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CARVYKTI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(ciltacabtagene autoleucel; cilta-cel) net trade sales increased 50% versus second quarter of 2025 to approximately $657 million</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Expanded CARVYKTI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availability to 348 global sites and 19 global markets with the launch of Ireland</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Achieved first clinical proof-of-concept for LB2501, an investigational in vivo CD19/CD20 dual</w:t>
        <w:noBreakHyphen/>
        <w:t>targeting CAR-T therapy with 100% ORR and 83.3% CR at the higher dose level (DL2) in patients with relapsed or refractory B-cell non-Hodgkin lymphoma</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Strengthened balance sheet through successful public offering of 7,700,000 American Depository Shares ("ADS") with net proceeds of approximately $212 million, after deducting underwriting discounts and commissions and estimated offering expenses</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Cash and cash equivalents, and time deposits of approximately $965 million, as of June 30, 2026</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Global Economic Conditions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Worldwide economic conditions remain uncertain and we continue to monitor the impact of macroeconomic conditions, including those related to the public health crises, international tension and conflicts, the failure and instability of financial institutions and rising inflation rates.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tariffs, supply chain constraints, logistics challenges, labor shortages, international tension and conflicts and steps taken by governments and central banks, have led to fluctuating inflation, which has led to an increase in costs and has caused changes in fiscal and monetary policy, including fluctuating interest rates. Our manufacturing activities in the US and Europe have continued. Currently, we have not experienced any material impact to our supply chain as a result of inflation and fluctuating interest rates. Increased quantities of certain raw materials and consumables have been stocked as an appropriate safety measure. We believe we have established robust sourcing strategies for all necessary materials and do not expect any significant impact.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Specifically with respect to the current tariffs imposed by the Trump administration, we do not currently believe such tariffs will have a material impact on our financial condition, as pharmaceuticals were exempted from these tariffs. However, the Trump administration has announced an intention to implement tariffs for pharmaceuticals at a future date. While the impact of any such pharmaceutical tariffs on Legend may be mitigated by the fact that the U.S. Carvykti supply is domestically produced at the Raritan site in New Jersey and at the Novartis CMO facility in Morris Plains, New Jersey,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face tariff exposure from certain pharmaceutical ingredients and processing materials that are imported from outside the U.S.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these changes in economic conditions continue or if they increase in severity, it could result in further economic uncertainty and volatility in the capital markets in the near term and could negatively affect our operations. Although we do not believe that these macroeconomic conditions have had a material impact on our financial position or results of operations to date, we may experience impacts in the near future (especially if inflation rates begin to rise again or significant tariffs are imposed on pharmaceutical ingredients) on our operating costs, including our cost of goods sold, labor costs and research and development costs, due to tariffs, supply chain constraints, consequences associated with public health crises, international tension and conflicts, and employee availability and wage increases, which may result in additional stress on our working 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 xml:space="preserve">Comparison of Three Months Ended June 30, 2026 and 2025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w:t>
      </w:r>
    </w:p>
    <w:tbl>
      <w:tblPr>
        <w:tblW w:w="7161" w:type="dxa"/>
        <w:jc w:val="left"/>
        <w:tblInd w:w="0" w:type="dxa"/>
        <w:tblLayout w:type="fixed"/>
        <w:tblCellMar>
          <w:top w:w="28" w:type="dxa"/>
          <w:left w:w="28" w:type="dxa"/>
          <w:bottom w:w="28" w:type="dxa"/>
          <w:right w:w="28" w:type="dxa"/>
        </w:tblCellMar>
      </w:tblPr>
      <w:tblGrid>
        <w:gridCol w:w="1279"/>
        <w:gridCol w:w="1128"/>
        <w:gridCol w:w="1132"/>
        <w:gridCol w:w="204"/>
        <w:gridCol w:w="581"/>
        <w:gridCol w:w="113"/>
        <w:gridCol w:w="113"/>
        <w:gridCol w:w="113"/>
        <w:gridCol w:w="113"/>
        <w:gridCol w:w="204"/>
        <w:gridCol w:w="659"/>
        <w:gridCol w:w="113"/>
        <w:gridCol w:w="109"/>
        <w:gridCol w:w="109"/>
        <w:gridCol w:w="109"/>
        <w:gridCol w:w="196"/>
        <w:gridCol w:w="556"/>
        <w:gridCol w:w="109"/>
        <w:gridCol w:w="221"/>
      </w:tblGrid>
      <w:tr>
        <w:trPr/>
        <w:tc>
          <w:tcPr>
            <w:tcW w:w="127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8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Statement of Operations Data:</w:t>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revenue</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License and other revenue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collaboration revenue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license and other revenue</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distribution expenses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costs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income</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w:t>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pPr>
      <w:r>
        <w:rPr>
          <w:rFonts w:ascii="Times New Roman;serif" w:hAnsi="Times New Roman;serif"/>
          <w:b/>
          <w:i/>
          <w:color w:val="000000"/>
          <w:sz w:val="20"/>
        </w:rPr>
        <w:t>Collaboration Revenue</w:t>
      </w:r>
      <w:r>
        <w:rPr>
          <w:color w:val="000000"/>
        </w:rPr>
        <w:t xml:space="preserve"> </w:t>
      </w:r>
    </w:p>
    <w:p>
      <w:pPr>
        <w:pStyle w:val="TextBody"/>
        <w:bidi w:val="0"/>
        <w:spacing w:lineRule="auto" w:line="268" w:before="240" w:after="283"/>
        <w:ind w:left="0" w:right="0" w:firstLine="720"/>
        <w:jc w:val="both"/>
        <w:rPr/>
      </w:pPr>
      <w:r>
        <w:rPr>
          <w:rFonts w:ascii="Times New Roman;serif" w:hAnsi="Times New Roman;serif"/>
          <w:b w:val="false"/>
          <w:color w:val="000000"/>
          <w:sz w:val="20"/>
        </w:rPr>
        <w:t>Collaboration revenue was $326.1 million for the three months ended June 30, 2026, compared to $219.7 million for the three months ended June 30, 2025. The increase of $106.4 million was due to an increase in revenue generated from sales of CARVYKTI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in connection with the Janssen collaboration and license agreement (the “Janssen Agreement”).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License and Other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License revenue was $61.4 million for the three months ended June 30, 2026, compared to $35.4 million for the three months ended June 30, 2025. The increase of $26.0 million was driven by milestones of $56.0 million achieved under the Janssen Agreement for the three months ended June 30, 2026, compared to no milestones achieved under the Janssen Agreement for the three months ended June 30, 2025. </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license increase was offset by a decrease in license revenue recognized in the three months ended June 30, 2026, under an exclusive agreement with a related party. No related party license revenue was recognized during the three months ended June 30, 2026 compared to $20.0 million in related party license revenue for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a decrease of $10.1 million from $15.4 million for the three months ended June 30, 2025 to $5.3 million for the three months ended June 30, 2026 was primarily attributable to revenue recognized pursuant to our license agreement with Novartis for the development, manufacture, and commercialization of LB2102 and other potential CAR-T therapies selectively targeting DLL-3 (the “Novartis License Agreement”). This revenue is recognized over time in connection with our Phase 1 clinical trial for LB2102.</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Cost of Collaboration Revenue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Cost of collaboration revenue was $136.0 million for the three months ended June 30, 2026, compared to $94.9 million for the three months ended June 30, 2025. The increase of $41.1 million was primarily due to Legend Biotech’s share of the cost of sales in connection with CARVYKTI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 under the Janssen Agreement.</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$96.0 million for the three months ended June 30, 2026 compared to $98.3 million for the three months ended June 30, 2025. The decrease of $2.3 million was primarily driven by lower expenditures in the cilta-cel clinical program as the patient dosing phases of major trials substantially concluded, partially offset by higher pipeline related research and development activities.</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 xml:space="preserve">Administrative Expenses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Administrative expenses were $33.0 million for the three months ended June 30, 2026, compared to $32.6 million for the three months ended June 30, 2025, remaining relatively flat.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Selling and Distribution Expenses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and distribution expenses were $63.4 million for the three months ended June 30, 2026, compared to $48.1 million for the three months ended June 30, 2025. The increase of $15.3 million was primarily due to higher commercial costs, including sales force expansion and Janssen-related marketing and market access activities, which rose with collaboration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Finance Income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Finance income for the three months ended June 30, 2026 was $5.6 million, compared to $10.4 million for the three months ended June 30, 2025. The decrease of $4.8 million was primarily driven by less interest income earned from various bank accounts and time deposits.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net for the three months ended June 30, 2026, was $2.0 million, compared to $108.1 million for the three months ended June 30, 2025. The decrease of $106.1 million was primarily driven by lower unrealized foreign currency exchange losses.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was $22.3 million for the three months ended June 30, 2026, compared to $0.6 million for the three months ended June 30, 2025. The increase of $21.7 million was primarily driven by an increase in taxable income across our U.S., Belgium and PRC entities. We continue to negotiate an advance pricing agreement with the Chinese Tax Authority, which will determine a transfer pricing methodology between its legal entities. Although a formal agreement has not yet been executed, we have reflected management's best estimate of the expected tax consequences including the cumulative impact of a change in estimate based on the information available as of June 30, 2026.</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have accrued for matters we believe are probable and estimable, the final outcome with a tax authority may result in a tax liability that is materially different from that reflected in the consolidated financial statements.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360" w:after="283"/>
        <w:jc w:val="left"/>
        <w:rPr/>
      </w:pPr>
      <w:r>
        <w:rPr>
          <w:rFonts w:ascii="Times New Roman;serif" w:hAnsi="Times New Roman;serif"/>
          <w:b/>
          <w:color w:val="000000"/>
          <w:sz w:val="22"/>
        </w:rPr>
        <w:t>Comparison of Six Months Ended June 30, 2026 and 2025</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w:t>
      </w:r>
    </w:p>
    <w:tbl>
      <w:tblPr>
        <w:tblW w:w="7290" w:type="dxa"/>
        <w:jc w:val="left"/>
        <w:tblInd w:w="0" w:type="dxa"/>
        <w:tblLayout w:type="fixed"/>
        <w:tblCellMar>
          <w:top w:w="28" w:type="dxa"/>
          <w:left w:w="28" w:type="dxa"/>
          <w:bottom w:w="28" w:type="dxa"/>
          <w:right w:w="28" w:type="dxa"/>
        </w:tblCellMar>
      </w:tblPr>
      <w:tblGrid>
        <w:gridCol w:w="1279"/>
        <w:gridCol w:w="1128"/>
        <w:gridCol w:w="1132"/>
        <w:gridCol w:w="109"/>
        <w:gridCol w:w="109"/>
        <w:gridCol w:w="109"/>
        <w:gridCol w:w="196"/>
        <w:gridCol w:w="556"/>
        <w:gridCol w:w="109"/>
        <w:gridCol w:w="109"/>
        <w:gridCol w:w="109"/>
        <w:gridCol w:w="109"/>
        <w:gridCol w:w="196"/>
        <w:gridCol w:w="631"/>
        <w:gridCol w:w="109"/>
        <w:gridCol w:w="109"/>
        <w:gridCol w:w="109"/>
        <w:gridCol w:w="109"/>
        <w:gridCol w:w="196"/>
        <w:gridCol w:w="556"/>
        <w:gridCol w:w="221"/>
      </w:tblGrid>
      <w:tr>
        <w:trPr/>
        <w:tc>
          <w:tcPr>
            <w:tcW w:w="127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Statement of Operations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License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collaboration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license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distribution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205.3 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revenue for the six months ended June 30, 2026 was $624.5 million, compared to $405.3 million for the six months ended June 30, 2025. The increase of $219.2 million was due to an increase in revenue generated from sales of CARVYKTI® in connection with the Janssen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License and Other Revenue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License revenue was $68.1 million for the six months ended June 30, 2026, compared to $44.8 million for the six months ended June 30, 2025. The increase of $23.3 million was driven by milestones of $56.0 million achieved under the Janssen Agreement for the six months ended June 30, 2026, compared to no milestones achieved under the Janssen Agreement for the six months ended June 30,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was offset by a decrease in license revenue recognized in the three months ended June 30, 2026, under an exclusive agreement with a related party. $1.6 million was recognized under this agreement during the six months ended June 30, 2026 compared to $20.0 million in license revenue under this agreement for the six months ended June 30, 2025.</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 decrease of $14.3 million from $24.7 million for the six months ended June 30, 2025 to $10.4 million for the six months ended June 30, 2026 was primarily attributable to revenue recognized pursuant to the Novartis License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Cost of Collaboration Revenue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collaboration revenue was $311.4 million for the six months ended June 30, 2026, compared to $164.4 million for the six months ended June 30, 2025. The increase of $147.0 million was primarily due to Legend Biotech’s share of the cost of sales in connection with CARVYKTI® sales under the Janssen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$181.7 million for the six months ended June 30, 2026 compared to $200.2 million for the six months ended June 30, 2025. The decrease of $18.5 million was primarily driven by lower expenditures in the cilta-cel clinical program as the patient dosing phases of major trials substantially concluded, partially offset by higher pipeline related research and development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Administrative Expenses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Administrative expenses were $73.0 million for the six months ended June 30, 2026, compared to $64.1 million for the six months ended June 30, 2025. The increase of $8.9 million was primarily driven by higher professional fees.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Selling and Distribution Expenses </w:t>
      </w:r>
    </w:p>
    <w:p>
      <w:pPr>
        <w:pStyle w:val="TextBody"/>
        <w:bidi w:val="0"/>
        <w:spacing w:before="0" w:after="0"/>
        <w:ind w:left="0" w:right="0" w:firstLine="54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distribution expenses were $113.5 million for the six months ended June 30, 2026, compared to $89.1 million for the six months ended June 30, 2025. The increase of $24.4 million was primarily due to higher commercial costs, including sales force expansion and Janssen-related marketing and market access activities, which rose with collaboration revenue.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Finance Income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Finance income for the six months ended June 30, 2026 was $12.9 million, compared to $22.5 million for the six months ended June 30, 2025. The decrease of $9.6 million was primarily driven by less interest income earned from various bank accounts and time deposits.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net for the six months ended June 30, 2026, was $7.1 million, compared to $162.6 million for the six months ended June 30, 2025. The decrease of $155.5 million was primarily driven by lower unrealized foreign currency exchange losses.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six months ended June 30, 2026 was $23.5 million, compared to $2.4 million for the six months ended June 30, 2025. The increase of $21.1 million was primarily driven by an increase in taxable income across our U.S., Belgium and PRC entities. We continue to negotiate an advance pricing agreement with the Chinese Tax Authority, which will determine a transfer pricing methodology between our legal entities. Although a formal agreement has not yet been executed, we have reflected the expected impact of the agreement including the cumulative impact of a change in estimate based on the information available as of June 30, 2026.</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have accrued for matters we believe are probable and estimable, the final outcome with a tax authority may result in a tax liability that is materially different from that reflected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Sources of Liquidity</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Since our inception, we have incurred significant operating losses. We believe that our cash and cash equivalent</w:t>
      </w:r>
      <w:r>
        <w:rPr>
          <w:rFonts w:ascii="Times New Roman;serif" w:hAnsi="Times New Roman;serif"/>
          <w:b w:val="false"/>
          <w:color w:val="000000"/>
          <w:sz w:val="20"/>
        </w:rPr>
        <w:t xml:space="preserve">s, and time deposits of approximately $965 million, as of June 30, 2026, </w:t>
      </w:r>
      <w:r>
        <w:rPr>
          <w:rFonts w:ascii="Times New Roman;serif" w:hAnsi="Times New Roman;serif"/>
          <w:b w:val="false"/>
          <w:color w:val="000000"/>
          <w:sz w:val="20"/>
          <w:shd w:fill="FFFFFF" w:val="clear"/>
        </w:rPr>
        <w:t xml:space="preserve">and cash that we expect to generate from our operations will provide sufficient resources to meet our operational needs and loan repayment needs for at least the next 12 months. We also believe that we have the ability to access capital markets as sources of liquidity if needed. </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the exception of our first product, CARVYKTI, which was initially approved by the FDA on February 28, 2022, we do not currently have any approved products and we have not generated any revenue from product sales for other products. From inception through June 30, 2026, we have funded our operations primarily through revenue from sales of CARVYKTI, equity financings, payments, and advancements from Janssen and Novartis pursuant to collaboration and license agreements. In addition, on June 17, 2026, we entered into an Underwriting Agreement (the “Underwriting Agreement”) with Morgan Stanley Asia Limited, Jefferies LLC, and Citigroup Global Markets Inc., as representatives of the several underwriters named therein (the “Underwriters”), relating to the underwritten public offering (the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68" w:before="0" w:after="0"/>
        <w:jc w:val="left"/>
        <w:rPr/>
      </w:pPr>
      <w:r>
        <w:rPr>
          <w:rFonts w:ascii="Times New Roman;serif" w:hAnsi="Times New Roman;serif"/>
          <w:b w:val="false"/>
          <w:color w:val="000000"/>
          <w:sz w:val="20"/>
        </w:rPr>
        <w:t>Offering”) of 7,700,000 ADS, representing 15,400,000 ordinary shares, at a price to the public of $29.35 per ADS. The 2026 Offering closed on June 23, 2026, resulting in net proceeds of approximately $212 million, after the deduction of underwriting discounts and commissions and directly attributable issuance costs of $13.6 million, which were recorded as a reduction of share premium. The Underwriters' 30-day option to purchase up to 1,155,000 additional ADSs at the public offering price pursuant to the Underwriting Agreement, less the underwriting discounts and commissions, expired unexercised on</w:t>
      </w:r>
      <w:r>
        <w:rPr>
          <w:color w:val="000000"/>
        </w:rPr>
        <w:t xml:space="preserve"> </w:t>
      </w:r>
      <w:r>
        <w:rPr>
          <w:rFonts w:ascii="Times New Roman;serif" w:hAnsi="Times New Roman;serif"/>
          <w:b w:val="false"/>
          <w:color w:val="000000"/>
          <w:sz w:val="20"/>
        </w:rPr>
        <w:t>July 17, 2026.</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approximately $672.9 million in cash and cash equivalents, approximately $291.7 million of time deposits, and accumulated losses of $2.0 billion.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subsidiaries, including those registered as wholly foreign-owned enterprises in the People's Republic of China (the "PRC"), are required to set aside at least 10.0% of their after-tax profits to their general reserves until such reserves reach 50.0% of their registered capital. Under PRC regulations, foreign-invested enterprises may pay dividends only out of their accumulated profit, if any, as determined in accordance with PRC accounting standards and regulations. A PRC company is not permitted to distribute any profits until any losses from prior fiscal years have been offset. Profits retained from prior fiscal years may be distributed together with distributable profits from the current fiscal year. Although we do not currently require any such dividends from our PRC subsidiaries to fund our operations, should we require additional sources of liquidity in the future, such restrictions may have a material adverse effect on our liquidity and capital resources. For more information, see “Item 4.B-Business Overview - Government Regulation - PRC Regulation - Other PRC National- and Provincial-Level Laws and Regulations - Regulations Relating to Dividend Distributions”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w:t>
      </w:r>
    </w:p>
    <w:tbl>
      <w:tblPr>
        <w:tblW w:w="7238" w:type="dxa"/>
        <w:jc w:val="left"/>
        <w:tblInd w:w="0" w:type="dxa"/>
        <w:tblLayout w:type="fixed"/>
        <w:tblCellMar>
          <w:top w:w="28" w:type="dxa"/>
          <w:left w:w="28" w:type="dxa"/>
          <w:bottom w:w="28" w:type="dxa"/>
          <w:right w:w="28" w:type="dxa"/>
        </w:tblCellMar>
      </w:tblPr>
      <w:tblGrid>
        <w:gridCol w:w="1805"/>
        <w:gridCol w:w="1591"/>
        <w:gridCol w:w="1598"/>
        <w:gridCol w:w="196"/>
        <w:gridCol w:w="631"/>
        <w:gridCol w:w="109"/>
        <w:gridCol w:w="109"/>
        <w:gridCol w:w="109"/>
        <w:gridCol w:w="109"/>
        <w:gridCol w:w="196"/>
        <w:gridCol w:w="631"/>
        <w:gridCol w:w="154"/>
      </w:tblGrid>
      <w:tr>
        <w:trPr/>
        <w:tc>
          <w:tcPr>
            <w:tcW w:w="180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Operating Activities</w:t>
      </w:r>
    </w:p>
    <w:p>
      <w:pPr>
        <w:pStyle w:val="TextBody"/>
        <w:bidi w:val="0"/>
        <w:spacing w:lineRule="auto" w:line="288" w:before="3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$106.0 million, primarily as a result of net income before tax of $2.4 million after adjusting for non-cash items, and changes in operating assets and liabilities. The year-over-year improvement was primarily driven by an increase in collaboration and license revenue, partially offset by a decrease in working capital and interest income received.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2025 was $116.8 million, primarily as a result of net loss before tax of $224.0 million after adjusting for non-cash items, and changes in operating assets and liabilities. Adjustments mainly included $22.5 million of finance income, offset by $165.2 million of foreign exchange loss, net and $34.6 million of equity-settled share-based compensation expenses. Changes in operating assets and liabilities mainly include an increase in prepayment, other receivable and other assets of $84.4 million, an increase in trade receivables of $20.3 million, a decrease in other payables and accruals of $18.9 million, and a decrease in contract liabilities, net of $18.5 million. This was partially offset by an increase in trade payables of $36.0 million. Cash items primarily include interest income received of $37.9 million. This was partially offset by income tax payment of $15.2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Investing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was $288.0 million, primarily reflecting net purchases of time deposits of $241.5 million, a $31.5 million prepayment to Janssen for collaboration assets, and purchases of property, plant, and equipment of $15.0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six months ended June 30, 2025 was $91.1 million, consisting primarily of decreases in time deposits of $4.3 billion. This was partially offset by a $4.2 billion addition of time deposits, a $21.7 million prepayment to Janssen for collaboration assets, and purchases of property, plant, and equipment of $11.2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Financing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$166.5 million, consisting primarily of $212 million in proceeds from the 2026 Offering, net of issuance costs of $13.6 million, partially offset by repayment of collaboration interest-bearing advanced funding of $41.7 million.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2025 was $0.3 million, consisting primarily of the principal portion of lease payments of $2.0 million, partially offset by proceeds from exercise of share options of $1.7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Funding Requirements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continue to incur expenses in connection with our ongoing activities, particularly as we continue the research and development of, continue or initiate clinical trials of, and seek marketing approval for, our product candidates. In addition, following the FDA’s approval of CARVYKTI, we continue to incur significant commercialization expenses related to program sales, marketing, manufacturing and distribution. For example, in addition to investing in our own facilities, we have supplemented our manufacturing capabilities and infrastructure by entering into agreements with a CMO and may enter into additional CMO agreements in the future. Furthermore, we expect to incur additional costs associated with operating as a public company. Accordingly, we may need to obtain additional funding in connection with our continuing operations. If we are unable to raise capital if and when needed or on attractive terms, we would be forced to delay, reduce or eliminate our research and development programs or future commercialization efforts.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consequences of the macroeconomic conditions, including global conflicts and inflation, and resulting economic uncertainty could adversely affect our liquidity and capital resources in the future, and cash requirements may fluctuate based on the timing and extent of many factors such as those discussed below, we currently expect our existing cash and cash equivalents, and time deposits as well as revenue that we expect to generate from our operations will provide sufficient resources to meet our operational needs and loan repayment needs for at least the next 12 months. Our future capital requirements will depend on many factors,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amount and timing of revenue we receive from commercial sales of CARVYKTI under the Janssen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scope, progress, results and costs of product discovery, preclinical studies and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scope, prioritization and number of our research and development programs;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achievement of milestones or occurrence of other developments that trigger payments under the Janssen Agreement, Novartis License Agreement and any other collaboration agreements we enter into;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extent to which we are obligated to reimburse, or entitled to reimbursement of, clinical trial costs under collaboration agreements, if 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securing manufacturing arrangements for commercial production;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of establishing or contracting for sales and marketing capabilities if we obtain regulatory approvals to market our product candidates.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our commercial product CARVYKTI, we have a broad portfolio of earlier-stage product candidates. Identifying potential product candidates and conducting preclinical studies and clinical trials is a time consuming, expensive and uncertain process that takes many years to complete, and we may never generate the necessary data or results required to obtain marketing approval and achieve product sales for such product candidates. In addition, our product candidates, if approved, may not achieve commercial success. Our commercial revenues from earlier-stage product candidates, if any, will be derived from sales of product candidates that we do not expect to be commercially available for many years, if at all. Accordingly, we may need to continue to rely on additional financing to achieve our business objectives. Adequate additional financing may not be available to us on acceptable terms, or at all.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supplement our cash proceeds from the product revenue, we may need to finance our operations through a combination of equity offerings, debt financings, collaborations, strategic alliances and licensing arrangements. To the extent that we raise additional capital through the sale of equity or convertible debt securities, holders of our ADSs will be diluted, and the terms of these securities may include liquidation or other preferences that adversely affect the rights of our shareholders. Debt financing, if available, may involve agreements that include covenants limiting or restricting our ability to take specific actions, such as incurring additional debt, making capital expenditures or declaring dividends.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that we would otherwise prefer to develop and market ourselves.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Janssen Agreement, Janssen may recoup the aggregate amount of funding advances received from Janssen over time ("Funding Advances"), together with interest thereon, from our share of pre-tax profits starting from the first calendar quarter following the first profitable year of the collaboration program and, subject to some limitations, from milestone payments due to us under the Janssen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estimated that the entire balance of $156.4 million of Funding Advances would be recouped by Janssen within the next 12 months, and therefore such amount was classified as a current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Certain Supplemental Non-IFRS Metrics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uses various financial metrics, including certain metrics that are not prepared in accordance with IFRS, to measure and assess the performance of our business, to make critical business decisions, and to assess our compliance with certain financial obligations. We therefore believe that presentation of certain of these non-IFRS metrics alongside the IFRS measures will aid investors in understanding our business.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non-IFRS metrics should be considered in addition to, and not as a substitute for, or as superior to, measures of financial performance, financial position or cash flows reported in accordance with IFRS. We strongly encourage investors to review our historical financial statements in their entirety and to use the measures presented in accordance with IFRS as the primary means of evaluating our performance. Moreover, we encourage investors to review the definitions and reconciliations of non-IFRS financial measures to their most directly comparable IFRS measures. In addition, non-IFRS metrics are not uniformly defined by all companies, including those in our industry. Accordingly, non-IFRS metrics may not be comparable with similarly titled measures and disclosures by other companies, and we therefore encourage investors to review the discussions of these non-IFRS financial measures particularly the limitations on their usefulness and to understand how such measures differ from similarly titled measures that may be presented by other companies in the pharmaceutical industry or in general.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Adjusted Net Income (Loss) and Adjusted Net Income (Loss) per Share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use Adjusted Net Income (Loss) and Adjusted Net Income (Loss) per Share (which we sometimes refer to as “Adjusted EPS” or “ANI per Share”, respectively) as performance metrics. Adjusted Net Income (Loss) and ANI per share are not defined under IFRS, are not a measure of operating income, operating performance, or liquidity presented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accordance with IFRS, and are subject to important limitations. Our use of Adjusted Net Income (Loss) has limitations as an analytical tool, and you should not consider it in isolation or as a substitute for analysis of our results as reported under IFRS. For example: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may have to be replaced in the future, and Adjusted Net Income (Loss) does not reflect cash capital expenditure requirements for such replacements or for new capital expenditure requirements.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Adjusted Net Income (Loss) excludes unrealized foreign exchange gain or loss.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Adjusted Net Income (Loss) does not reflect changes in, or cash requirements for, our working capital needs.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 addition, Adjusted Net Income (Loss) excludes items such as share-based compensation expense, which has been, and will continue to be for the foreseeable future, non-cash expense for our business and an important part of our compensation strategy.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our definition of Adjusted Net Income (Loss) and ANI per Share may not be the same as similarly titled measures used by other companies.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However, we believe that providing information concerning Adjusted Net Income (Loss) and ANI per Share enhances an investor’s understanding of our financial performance. We use Adjusted Net Income (Loss) as a performance metric that guides management in its operation of and planning for the future of the business. We believe that Adjusted Net Income (Loss) provides a useful measure of our operating performance from period to period by excluding certain items that we believe are not representative of our core business. We define Adjusted Net Income (Loss) as net income (loss) adjusted for (1) non-cash items such as depreciation and amortization, share-based compensation, and loss on impairment asset, and (2) unrealized foreign exchange gain or loss.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ANI per Share is computed by dividing Adjusted Net Income (Loss) by the weighted average shares outstanding.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between Adjusted Net Income (Loss) and Net Income (Loss), the most directly comparable measure under IFRS, has been provided in the table below.</w:t>
      </w:r>
    </w:p>
    <w:tbl>
      <w:tblPr>
        <w:tblW w:w="7895" w:type="dxa"/>
        <w:jc w:val="left"/>
        <w:tblInd w:w="0" w:type="dxa"/>
        <w:tblLayout w:type="fixed"/>
        <w:tblCellMar>
          <w:top w:w="28" w:type="dxa"/>
          <w:left w:w="28" w:type="dxa"/>
          <w:bottom w:w="28" w:type="dxa"/>
          <w:right w:w="28" w:type="dxa"/>
        </w:tblCellMar>
      </w:tblPr>
      <w:tblGrid>
        <w:gridCol w:w="1156"/>
        <w:gridCol w:w="1015"/>
        <w:gridCol w:w="1023"/>
        <w:gridCol w:w="214"/>
        <w:gridCol w:w="508"/>
        <w:gridCol w:w="119"/>
        <w:gridCol w:w="119"/>
        <w:gridCol w:w="119"/>
        <w:gridCol w:w="119"/>
        <w:gridCol w:w="214"/>
        <w:gridCol w:w="689"/>
        <w:gridCol w:w="119"/>
        <w:gridCol w:w="109"/>
        <w:gridCol w:w="109"/>
        <w:gridCol w:w="109"/>
        <w:gridCol w:w="196"/>
        <w:gridCol w:w="541"/>
        <w:gridCol w:w="109"/>
        <w:gridCol w:w="109"/>
        <w:gridCol w:w="109"/>
        <w:gridCol w:w="109"/>
        <w:gridCol w:w="196"/>
        <w:gridCol w:w="631"/>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Impairment charges </w:t>
            </w:r>
            <w:r>
              <w:rPr>
                <w:rFonts w:ascii="Times New Roman;serif" w:hAnsi="Times New Roman;serif"/>
                <w:b w:val="false"/>
                <w:color w:val="000000"/>
                <w:sz w:val="12"/>
              </w:rPr>
              <w:t>(1)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Unrealized foreign exchange loss </w:t>
            </w:r>
            <w:r>
              <w:rPr>
                <w:rFonts w:ascii="Times New Roman;serif" w:hAnsi="Times New Roman;serif"/>
                <w:b w:val="false"/>
                <w:color w:val="000000"/>
                <w:sz w:val="12"/>
              </w:rPr>
              <w:t>(2)</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Adjusted net income (loss)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ANI (ANL) per share:</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diluted weighted average shares outstanding used in the calculation of the diluted ANI per share for the three months ended June 30, 2026 is 387.6 million shares, and for the six months ended June 30, 2026, is 386.0 million shares. The diluted weighted average shares outstanding used in the calculation of the diluted ANI per share for the three months ended June 30, 2025 is 377.0 million shares.</w:t>
      </w:r>
    </w:p>
    <w:p>
      <w:pPr>
        <w:pStyle w:val="TextBody"/>
        <w:bidi w:val="0"/>
        <w:spacing w:lineRule="auto" w:line="288" w:before="24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Other operating expenses</w:t>
      </w:r>
    </w:p>
    <w:p>
      <w:pPr>
        <w:pStyle w:val="TextBody"/>
        <w:bidi w:val="0"/>
        <w:spacing w:lineRule="auto" w:line="288" w:before="240" w:after="283"/>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Included in Other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240" w:after="283"/>
        <w:ind w:left="0" w:right="0" w:firstLine="720"/>
        <w:jc w:val="left"/>
        <w:rPr/>
      </w:pPr>
      <w:r>
        <w:rPr/>
      </w: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Quantitative and Qualitative Disclosures About Market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cash is held in readily available operating accounts and short to medium term deposits and securities. These securities are principal secured and not adversely impacted by interest rate fluctuations. As a result, a change in market interest rates would not have any significant impact on our cash balance.</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 pursuant to the Janssen Agreement, has transitioned in accordance with the LIBOR Act. Thus, outstanding advances accrue interest at 12 month CME term SOFR plus LIBOR/SOFR adjustment (12 month) plus a margin of 2.5%. Accordingly, changes in SOFR could result in fluctuations in our cash flow. For example, based on the $79.2 million aggregate principal amount of advances outstanding from Janssen as of June 30, 2026, a 0.5% (fifty basis point) per annum increase in SOFR would result in an additional $0.4 million per year in interest payable by the Company.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Inflation generally affects us by increasing our cost of labor and clinical trial costs. We do not believe that inflation had a material effect on our business, financial condition or results of operations during the six months ended June 30, 2026 and 2025.</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financial results are subject to fluctuations due to foreign exchange rate movements. We conduct business in multiple currencies, and as a result, we are exposed to exchange rate fluctuations that may impact our financial statements. Unrealized foreign exchange gains and losses arise from the revaluation of monetary assets and liabilities denominated in foreign currencies, as well as from translation adjustments related to our international operations. These unrealized gains and losses can significantly impact our net income and financial position, even when there is no underlying economic impact on our cash flows. If exchange rates move unfavorably, we may experience substantial unrealized losses, which could negatively affect our reported earnings and create volatility in our financial performance.</w:t>
      </w:r>
    </w:p>
    <w:p>
      <w:pPr>
        <w:pStyle w:val="TextBody"/>
        <w:bidi w:val="0"/>
        <w:spacing w:lineRule="auto" w:line="25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value of the RMB against the U.S. dollar and other currencies may fluctuate and is affected by, among other things, changes in political and economic conditions in China and by China’s foreign exchange policies. In recent years, the RMB has fluctuated against the U.S. dollar, at times significantly and unpredictably. Significant revaluation of the RMB may have a negative effect on our business.</w:t>
      </w:r>
    </w:p>
    <w:p>
      <w:pPr>
        <w:pStyle w:val="TextBody"/>
        <w:bidi w:val="0"/>
        <w:spacing w:lineRule="auto" w:line="25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we have not entered into any hedging transactions in an effort to reduce our exposure to foreign currency exchange risk.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drawing>
          <wp:inline distT="0" distB="0" distL="0" distR="0">
            <wp:extent cx="1428750" cy="590550"/>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1428750" cy="5905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Legend Biotech Reports Second Quarter 2026 Results and Recent Highlights</w:t>
      </w:r>
    </w:p>
    <w:p>
      <w:pPr>
        <w:pStyle w:val="TextBody"/>
        <w:bidi w:val="0"/>
        <w:spacing w:before="0" w:after="0"/>
        <w:jc w:val="center"/>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20"/>
        </w:rPr>
        <w:t>CARVYKTI</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0"/>
        </w:rPr>
        <w:t>(ciltacabtagene autoleucel; cilta-cel) net trade sales increased 50% versus second quarter of 2025 to approximately $657 million</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Expanded CARVYKTI</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0"/>
        </w:rPr>
        <w:t>availability to 348 global sites and 19 global markets with the launch of Ireland</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Achieved first clinical proof-of-concept for LB2501, an investigational in vivo CD19/CD20 dual</w:t>
        <w:noBreakHyphen/>
        <w:t>targeting CAR-T therapy with 100% ORR and 83.3% CR at the higher dose level (DL2) in patients with relapsed or refractory B-cell non-Hodgkin lymphoma</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Strengthened balance sheet through successful public offering of 7,700,000 American Depository Shares ("ADS") with net proceeds of approximately $212 million, after deducting underwriting discounts and commissions and estimated offering expenses</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Cash and cash equivalents, and time deposits of approximately $965 million, as of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Bridgewater, N.J.—</w:t>
      </w:r>
      <w:r>
        <w:rPr>
          <w:rFonts w:ascii="Arial;sans-serif" w:hAnsi="Arial;sans-serif"/>
          <w:b w:val="false"/>
          <w:color w:val="000000"/>
          <w:sz w:val="20"/>
        </w:rPr>
        <w:t xml:space="preserve">August 11, 2026— Legend Biotech Corporation (NASDAQ: LEGN) (Legend Biotech), a global leader in cell therapy, today reported its second quarter 2026 unaudited financial results and key corporate highlights. </w:t>
      </w:r>
    </w:p>
    <w:p>
      <w:pPr>
        <w:pStyle w:val="TextBody"/>
        <w:bidi w:val="0"/>
        <w:spacing w:before="0" w:after="0"/>
        <w:jc w:val="left"/>
        <w:rPr/>
      </w:pPr>
      <w:r>
        <w:rPr/>
      </w:r>
    </w:p>
    <w:p>
      <w:pPr>
        <w:pStyle w:val="TextBody"/>
        <w:bidi w:val="0"/>
        <w:spacing w:lineRule="auto" w:line="256" w:before="0" w:after="0"/>
        <w:jc w:val="both"/>
        <w:rPr/>
      </w:pPr>
      <w:r>
        <w:rPr>
          <w:rFonts w:ascii="Arial;sans-serif" w:hAnsi="Arial;sans-serif"/>
          <w:b w:val="false"/>
          <w:color w:val="000000"/>
          <w:sz w:val="20"/>
        </w:rPr>
        <w:t>"Our second quarter results demonstrate the strength of our commercial and innovation engines at Legend Biotech," said Alan Bash, Interim Chief Executive Officer of Legend Biotech. "CARVYKTI continued to deliver growth as we expand patient access globally, including the most recent launch in Ireland, our 19</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market. Commercial momentum of CARVYKTI provides the foundation to advance a diversified portfolio of next-generation cell therapies designed to expand the reach and impact of CAR-T. During the quarter, we achieved a significant innovation milestone with the first-in-human clinical readout for LB2501, validating our in vivo CAR-T platform. These advances demonstrate the breadth of our pipeline across hematologic malignancies and solid tumors and our commitment to bringing transformational cell therapies to patients beyond multiple myeloma. Our focus remains the same. Ensuring continuity across the business, maintaining strong execution, and advancing the strategic priorities that position Legend Biotech for long term growth. With meaningful commercial and clinical momentum and a strengthened balance sheet, we remain confident in our ability to advance innovation and progress toward company-wide profitability."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Recent Data Highlights</w:t>
      </w:r>
    </w:p>
    <w:p>
      <w:pPr>
        <w:pStyle w:val="TextBody"/>
        <w:bidi w:val="0"/>
        <w:spacing w:lineRule="auto" w:line="268" w:before="0" w:after="0"/>
        <w:ind w:left="0" w:right="0" w:firstLine="360"/>
        <w:jc w:val="both"/>
        <w:rPr>
          <w:rFonts w:ascii="Arial;sans-serif" w:hAnsi="Arial;sans-serif"/>
          <w:b/>
          <w:color w:val="000000"/>
          <w:sz w:val="20"/>
        </w:rPr>
      </w:pPr>
      <w:r>
        <w:rPr>
          <w:rFonts w:ascii="Arial;sans-serif" w:hAnsi="Arial;sans-serif"/>
          <w:b/>
          <w:color w:val="000000"/>
          <w:sz w:val="20"/>
        </w:rPr>
        <w:t>LB2501 EHA 2026 - in vivo CD19/CD20 dual targeting CAR-T</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Achieved first clinical proof-of-concept with a 100% ORR (6/6) and 83.3% CR (5/6) at the higher dose level (DL2) following a single infusion in patients with relapsed or refractory B-cell non-Hodgkin lymphoma, with all responses ongoing at data cutoff.</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Dose-dependent in vivo CAR-T expansion generated without lymphodepletion.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No dose-limiting toxicities, serious adverse events, immune effector cell-associated neurotoxicity syndrome (ICANS), or deaths were reported; infusion-related reactions and cytokine release syndrome (CRS) were Grade 1–2, and none required glucocorticoids for CRS management.</w:t>
      </w:r>
    </w:p>
    <w:p>
      <w:pPr>
        <w:pStyle w:val="TextBody"/>
        <w:bidi w:val="0"/>
        <w:spacing w:lineRule="auto" w:line="268" w:before="0" w:after="0"/>
        <w:ind w:left="0" w:right="0" w:firstLine="360"/>
        <w:jc w:val="both"/>
        <w:rPr>
          <w:rFonts w:ascii="Arial;sans-serif" w:hAnsi="Arial;sans-serif"/>
          <w:b/>
          <w:color w:val="000000"/>
          <w:sz w:val="20"/>
        </w:rPr>
      </w:pPr>
      <w:r>
        <w:rPr>
          <w:rFonts w:ascii="Arial;sans-serif" w:hAnsi="Arial;sans-serif"/>
          <w:b/>
          <w:color w:val="000000"/>
          <w:sz w:val="20"/>
        </w:rPr>
        <w:t>LB2102 ASCO 2026 - DLL3-targeted CAR-T therapy</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Announced first-in-human data for LB2102, the Company’s investigational DLL3-targeted CAR-T therapy for relapsed or refractory small-cell lung cancer (SCLC) and large-cell neuroendocrine carcinoma (LCNEC). Legend has a license agreement with Novartis for the development, manufacture, and commercialization of LB2102 and other potential CAR-T therapies selectively targeting DLL-3.</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At higher dose levels, LB2102 achieved an ORR of 28.6% and a DCR of 78.6%, with durable responses observed in some patients.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Demonstrated a manageable safety profile and encouraging clinical activity in heavily pretreated patients.</w:t>
      </w:r>
    </w:p>
    <w:p>
      <w:pPr>
        <w:pStyle w:val="TextBody"/>
        <w:bidi w:val="0"/>
        <w:spacing w:lineRule="auto" w:line="268" w:before="0" w:after="0"/>
        <w:ind w:left="0" w:right="0" w:firstLine="360"/>
        <w:jc w:val="both"/>
        <w:rPr>
          <w:rFonts w:ascii="Arial;sans-serif" w:hAnsi="Arial;sans-serif"/>
          <w:b/>
          <w:color w:val="000000"/>
          <w:sz w:val="20"/>
        </w:rPr>
      </w:pPr>
      <w:r>
        <w:rPr>
          <w:rFonts w:ascii="Arial;sans-serif" w:hAnsi="Arial;sans-serif"/>
          <w:b/>
          <w:color w:val="000000"/>
          <w:sz w:val="20"/>
        </w:rPr>
        <w:t>New CARTITUDE program data ASCO 2026</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New CARTITUDE program data continued to support durable efficacy and a consistent safety profile for CARVYKTI</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in multiple myeloma, including sustained PFS/OS benefit across cytogenetic risk groups and a low incidence (1.2%) of immune effector cell-associated enterocolitis (IEC-EC).</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Key Business Developments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Compared to the second quarter of 2025, CARVYKTI</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net trade sales increased 50% in the second quarter of 2026 to approximately $657 million, with U.S. net trade sales growth of 32% and ex-U.S. net trade sales growth of 128% year-over-year.</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Launched CARVYKTI</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in Ireland, bringing availability to 348 global sites and 19 global markets.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Appointed Alan Bash, previously President of CARVYKTI</w:t>
      </w:r>
      <w:r>
        <w:rPr>
          <w:rFonts w:ascii="Arial;sans-serif" w:hAnsi="Arial;sans-serif"/>
          <w:b w:val="false"/>
          <w:color w:val="000000"/>
          <w:sz w:val="13"/>
        </w:rPr>
        <w:t>®</w:t>
      </w:r>
      <w:r>
        <w:rPr>
          <w:rFonts w:ascii="Arial;sans-serif" w:hAnsi="Arial;sans-serif"/>
          <w:b w:val="false"/>
          <w:color w:val="000000"/>
          <w:sz w:val="20"/>
        </w:rPr>
        <w:t>, Interim Chief Executive Officer.</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Closed public offering of 7,700,000 American Depositary Shares (“ADS”), with net proceeds of approximately $212 million, after deducting underwriting discounts and commissions and estimated offering expenses.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Cash and cash equivalents, and time deposits of approximately $965 million as of June 30, 2026, which Legend Biotech believes will provide financial runway beyond 2026, when Legend Biotech believes it will achieve a company-wide profit</w:t>
      </w:r>
      <w:r>
        <w:rPr>
          <w:rFonts w:ascii="Arial;sans-serif" w:hAnsi="Arial;sans-serif"/>
          <w:b w:val="false"/>
          <w:color w:val="000000"/>
          <w:sz w:val="13"/>
        </w:rPr>
        <w:t>1</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Second Quarter 2026 Financial Results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Arial;sans-serif" w:hAnsi="Arial;sans-serif"/>
          <w:b/>
          <w:i/>
          <w:color w:val="000000"/>
          <w:sz w:val="20"/>
        </w:rPr>
        <w:t>Cash Position</w:t>
      </w:r>
      <w:r>
        <w:rPr>
          <w:rFonts w:ascii="Arial;sans-serif" w:hAnsi="Arial;sans-serif"/>
          <w:b w:val="false"/>
          <w:color w:val="000000"/>
          <w:sz w:val="20"/>
        </w:rPr>
        <w:t>: Cash and cash equivalents, and time deposits were approximately $965 million as of June 30, 2026.</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i/>
          <w:color w:val="000000"/>
          <w:sz w:val="20"/>
        </w:rPr>
        <w:t>Collaboration Revenue</w:t>
      </w:r>
      <w:r>
        <w:rPr>
          <w:rFonts w:ascii="Arial;sans-serif" w:hAnsi="Arial;sans-serif"/>
          <w:b w:val="false"/>
          <w:color w:val="000000"/>
          <w:sz w:val="20"/>
        </w:rPr>
        <w:t>: Collaboration revenue was $326.1 million for the three months ended June 30, 2026, compared to $219.7 million for the three months ended June 30, 2025. The increase of $106.4 million was due to an increase in revenue generated from sales of CARVYKTI</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in connection with the Janssen collaboration and license agreement (the “Janssen Agreement”).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color w:val="000000"/>
          <w:sz w:val="20"/>
        </w:rPr>
        <w:t>License and Other Revenue:</w:t>
      </w:r>
      <w:r>
        <w:rPr>
          <w:color w:val="000000"/>
        </w:rPr>
        <w:t xml:space="preserve"> </w:t>
      </w:r>
      <w:r>
        <w:rPr>
          <w:rFonts w:ascii="Arial;sans-serif" w:hAnsi="Arial;sans-serif"/>
          <w:b w:val="false"/>
          <w:color w:val="000000"/>
          <w:sz w:val="20"/>
        </w:rPr>
        <w:t>License revenue was $61.4 million for the three months ended June 30, 2026, compared to $35.4 million for the three months ended June 30, 2025. The increase of $26.0 million was driven by milestones of $56.0 million achieved under the Janssen Agreement for the three months ended June 30, 2026, compared to no milestones achieved under the Janssen Agreement for the three months ended June 30, 2025.</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This license increase was offset by a decrease in license revenue recognized in the three months ended June 30, 2026, under an exclusive agreement with a related party. No related party license revenue was recognized during the three months ended June 30, 2026 compared to $20.0 million in related party license revenue for the three months ended June 30, 2025.</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Additionally, a decrease of $10.1 million from $15.4 million for the three months ended June 30, 2025 to $5.3 million for the three months ended June 30, 2026 was primarily attributable to revenue recognized pursuant to our license agreement with Novartis for the development, manufacture, and commercialization of LB2102 and other potential CAR-T therapies selectively targeting DLL-3 (the “Novartis License Agreement”). This revenue is recognized over time in connection with our Phase 1 clinical trial for LB2102.</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i/>
          <w:color w:val="000000"/>
          <w:sz w:val="20"/>
        </w:rPr>
        <w:t>Cost of Collaboration Revenue</w:t>
      </w:r>
      <w:r>
        <w:rPr>
          <w:rFonts w:ascii="Arial;sans-serif" w:hAnsi="Arial;sans-serif"/>
          <w:b w:val="false"/>
          <w:color w:val="000000"/>
          <w:sz w:val="20"/>
        </w:rPr>
        <w:t>: Cost of collaboration revenue was $136.0 million for the three months ended June 30, 2026, compared to $94.9 million for the three months ended June 30, 2025. The increase of $41.1 million was primarily due to Legend Biotech’s share of the cost of sales in connection with CARVYKTI</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sales under the Janssen Agreement.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i/>
          <w:color w:val="000000"/>
          <w:sz w:val="20"/>
        </w:rPr>
        <w:t>Research and Development Expenses</w:t>
      </w:r>
      <w:r>
        <w:rPr>
          <w:rFonts w:ascii="Arial;sans-serif" w:hAnsi="Arial;sans-serif"/>
          <w:b w:val="false"/>
          <w:color w:val="000000"/>
          <w:sz w:val="20"/>
        </w:rPr>
        <w:t>: Research and development expenses were $96.0 million for the three months ended June 30, 2026 compared to $98.3 million for the three months ended June 30, 2025. The decrease of $2.3 million was primarily driven by lower expenditures in the cilta-cel clinical program as the patient dosing phases of major trials substantially concluded, partially offset by higher pipeline related research and development activities.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i/>
          <w:color w:val="000000"/>
          <w:sz w:val="20"/>
        </w:rPr>
        <w:t xml:space="preserve">Administrative Expenses: </w:t>
      </w:r>
      <w:r>
        <w:rPr>
          <w:rFonts w:ascii="Arial;sans-serif" w:hAnsi="Arial;sans-serif"/>
          <w:b w:val="false"/>
          <w:color w:val="000000"/>
          <w:sz w:val="20"/>
        </w:rPr>
        <w:t>Administrative expenses were $33.0 million for the three months ended June 30, 2026, compared to $32.6 million for the three months ended June 30, 2025, remaining relatively flat.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i/>
          <w:color w:val="000000"/>
          <w:sz w:val="20"/>
        </w:rPr>
        <w:t>Selling and Distribution Expe</w:t>
      </w:r>
      <w:r>
        <w:rPr>
          <w:rFonts w:ascii="Arial;sans-serif" w:hAnsi="Arial;sans-serif"/>
          <w:b/>
          <w:color w:val="000000"/>
          <w:sz w:val="20"/>
        </w:rPr>
        <w:t>nses:</w:t>
      </w:r>
      <w:r>
        <w:rPr>
          <w:color w:val="000000"/>
        </w:rPr>
        <w:t xml:space="preserve"> </w:t>
      </w:r>
      <w:r>
        <w:rPr>
          <w:rFonts w:ascii="Arial;sans-serif" w:hAnsi="Arial;sans-serif"/>
          <w:b w:val="false"/>
          <w:color w:val="000000"/>
          <w:sz w:val="20"/>
        </w:rPr>
        <w:t>Selling and distribution expenses were $63.4 million for the three months ended June 30, 2026, compared to $48.1 million for the three months ended June 30, 2025. The increase of $15.3 million was primarily due to higher commercial costs, including sales force expansion and Janssen-related marketing and market access activities, which rose with collaboration revenue.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i/>
          <w:color w:val="000000"/>
          <w:sz w:val="20"/>
        </w:rPr>
        <w:t xml:space="preserve">Operating Income (Loss): </w:t>
      </w:r>
      <w:r>
        <w:rPr>
          <w:rFonts w:ascii="Arial;sans-serif" w:hAnsi="Arial;sans-serif"/>
          <w:b w:val="false"/>
          <w:color w:val="000000"/>
          <w:sz w:val="20"/>
        </w:rPr>
        <w:t>Operating income for the three months ended June 30, 2026 was $57.7 million compared to operating loss of $21.9 million for the three months ended June 30, 2025. The year-over-year improvement of $79.6 million was primarily due to higher gross profit from CARVYKTI</w:t>
      </w:r>
      <w:r>
        <w:rPr>
          <w:rFonts w:ascii="Arial;sans-serif" w:hAnsi="Arial;sans-serif"/>
          <w:b w:val="false"/>
          <w:color w:val="000000"/>
          <w:sz w:val="13"/>
        </w:rPr>
        <w:t xml:space="preserve">® </w:t>
      </w:r>
      <w:r>
        <w:rPr>
          <w:rFonts w:ascii="Arial;sans-serif" w:hAnsi="Arial;sans-serif"/>
          <w:b w:val="false"/>
          <w:color w:val="000000"/>
          <w:sz w:val="20"/>
        </w:rPr>
        <w:t>and higher license and other revenue.</w:t>
      </w:r>
    </w:p>
    <w:p>
      <w:pPr>
        <w:pStyle w:val="TextBody"/>
        <w:bidi w:val="0"/>
        <w:spacing w:lineRule="auto" w:line="288"/>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rPr>
        <w:t>Company-wide profit defined as Adjusted Net Income</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i/>
          <w:color w:val="000000"/>
          <w:sz w:val="20"/>
        </w:rPr>
        <w:t>Income Tax Expense</w:t>
      </w:r>
      <w:r>
        <w:rPr>
          <w:rFonts w:ascii="Arial;sans-serif" w:hAnsi="Arial;sans-serif"/>
          <w:b w:val="false"/>
          <w:color w:val="000000"/>
          <w:sz w:val="20"/>
        </w:rPr>
        <w:t>: Income tax expense was $22.3 million for the three months ended June 30, 2026, compared to $0.6 million for the three months ended June 30, 2025. The increase of $21.7 million was primarily driven by an increase in taxable income across our U.S., Belgium and PRC entities. We continue to negotiate an advance pricing agreement with the Chinese Tax Authority, which will determine a transfer pricing methodology between its legal entities. Although a formal agreement has not yet been executed, we have reflected management's best estimate of the expected tax consequences including the cumulative impact of a change in estimate based on the information available as of June 30, 2026.</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While we have accrued for matters we believe are probable and estimable, the final outcome with a tax authority may result in a tax liability that is materially different from that reflected in the consolidated financial statements.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i/>
          <w:color w:val="000000"/>
          <w:sz w:val="20"/>
        </w:rPr>
        <w:t>Net Income (Loss)</w:t>
      </w:r>
      <w:r>
        <w:rPr>
          <w:rFonts w:ascii="Arial;sans-serif" w:hAnsi="Arial;sans-serif"/>
          <w:b w:val="false"/>
          <w:color w:val="000000"/>
          <w:sz w:val="20"/>
        </w:rPr>
        <w:t>: Net income was $33.2 million for the three months ended June 30, 2026, compared to a net loss of $125.4 million for the three months ended June 30, 2025. The year-over-year improvement of $158.6 million was primarily driven by lower unrealized foreign currency exchange losses compared to the prior period, as well as improved operating performance reflecting higher gross profit from CARVYKTI</w:t>
      </w:r>
      <w:r>
        <w:rPr>
          <w:rFonts w:ascii="Arial;sans-serif" w:hAnsi="Arial;sans-serif"/>
          <w:b w:val="false"/>
          <w:color w:val="000000"/>
          <w:sz w:val="13"/>
        </w:rPr>
        <w: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i/>
          <w:color w:val="000000"/>
          <w:sz w:val="20"/>
        </w:rPr>
        <w:t>Adjusted Net Income (Loss):</w:t>
      </w:r>
      <w:r>
        <w:rPr>
          <w:color w:val="000000"/>
        </w:rPr>
        <w:t xml:space="preserve"> </w:t>
      </w:r>
      <w:r>
        <w:rPr>
          <w:rFonts w:ascii="Arial;sans-serif" w:hAnsi="Arial;sans-serif"/>
          <w:b w:val="false"/>
          <w:color w:val="000000"/>
          <w:sz w:val="20"/>
        </w:rPr>
        <w:t>Adjusted net income was $63.1 million for the three months ended June 30, 2026, compared to an adjusted net income of $10.1 million for the three months ended June 30, 2025. The year-over-year improvement of $53.0 million was primarily driven by improved operating performance, reflecting higher gross profit from CARVYKTI</w:t>
      </w:r>
      <w:r>
        <w:rPr>
          <w:rFonts w:ascii="Arial;sans-serif" w:hAnsi="Arial;sans-serif"/>
          <w:b w:val="false"/>
          <w:color w:val="000000"/>
          <w:sz w:val="13"/>
        </w:rPr>
        <w:t>®</w:t>
      </w:r>
      <w:r>
        <w:rPr>
          <w:rFonts w:ascii="Arial;sans-serif" w:hAnsi="Arial;sans-serif"/>
          <w:b w:val="false"/>
          <w:color w:val="000000"/>
          <w:sz w:val="20"/>
        </w:rPr>
        <w:t>.</w:t>
      </w:r>
    </w:p>
    <w:p>
      <w:pPr>
        <w:pStyle w:val="TextBody"/>
        <w:bidi w:val="0"/>
        <w:spacing w:before="0" w:after="0"/>
        <w:ind w:left="0" w:right="0" w:hanging="36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Webcast/Conference Call Details: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Legend Biotech will host its quarterly earnings call and webcast today at 8:00am ET. To access the webcast, please visit this weblink.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 replay of the webcast will be available on Legend Biotech’s website at https://investors.legendbiotech.com/events-and-presentations. </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 xml:space="preserve">About Legend Biotech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With over 3,200 employees, Legend Biotech is the largest standalone cell therapy company and a pioneer in treatments that change cancer care forever. Legend Biotech is at the forefront of the CAR-T cell therapy revolution with CARVYKTI®,</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 one-time treatment for relapsed or refractory multiple myeloma, which it develops and markets with collaborator Johnson &amp; Johnson. Centered in the United States, Legend Biotech is building an end-to-end cell therapy company by expanding its leadership to maximize CARVYKTI’s patient access and therapeutic potential. From this platform, Legend Biotech plans to drive future innovation across its pipeline of cutting-edge cell therapy modalities.</w:t>
      </w:r>
    </w:p>
    <w:p>
      <w:pPr>
        <w:pStyle w:val="TextBody"/>
        <w:bidi w:val="0"/>
        <w:spacing w:before="0" w:after="0"/>
        <w:jc w:val="both"/>
        <w:rPr/>
      </w:pPr>
      <w:r>
        <w:rPr/>
      </w:r>
    </w:p>
    <w:p>
      <w:pPr>
        <w:pStyle w:val="TextBody"/>
        <w:bidi w:val="0"/>
        <w:spacing w:lineRule="auto" w:line="360" w:before="0" w:after="0"/>
        <w:jc w:val="both"/>
        <w:rPr/>
      </w:pPr>
      <w:r>
        <w:rPr>
          <w:rFonts w:ascii="Arial;sans-serif" w:hAnsi="Arial;sans-serif"/>
          <w:b w:val="false"/>
          <w:color w:val="000000"/>
          <w:sz w:val="20"/>
        </w:rPr>
        <w:t xml:space="preserve">Learn more at </w:t>
      </w:r>
      <w:r>
        <w:rPr>
          <w:rFonts w:ascii="Arial;sans-serif" w:hAnsi="Arial;sans-serif"/>
          <w:b w:val="false"/>
          <w:color w:val="0000FF"/>
          <w:sz w:val="20"/>
        </w:rPr>
        <w:t>https://legendbiotech.com</w:t>
      </w:r>
      <w:r>
        <w:rPr>
          <w:color w:val="000000"/>
        </w:rPr>
        <w:t xml:space="preserve"> </w:t>
      </w:r>
      <w:r>
        <w:rPr>
          <w:rFonts w:ascii="Arial;sans-serif" w:hAnsi="Arial;sans-serif"/>
          <w:b w:val="false"/>
          <w:color w:val="000000"/>
          <w:sz w:val="20"/>
        </w:rPr>
        <w:t xml:space="preserve">and follow us on </w:t>
      </w:r>
      <w:r>
        <w:rPr>
          <w:rFonts w:ascii="Arial;sans-serif" w:hAnsi="Arial;sans-serif"/>
          <w:b w:val="false"/>
          <w:color w:val="0000FF"/>
          <w:sz w:val="20"/>
        </w:rPr>
        <w:t>X</w:t>
      </w:r>
      <w:r>
        <w:rPr>
          <w:rFonts w:ascii="Arial;sans-serif" w:hAnsi="Arial;sans-serif"/>
          <w:b w:val="false"/>
          <w:color w:val="000000"/>
          <w:sz w:val="20"/>
        </w:rPr>
        <w:t xml:space="preserve">, </w:t>
      </w:r>
      <w:r>
        <w:rPr>
          <w:rFonts w:ascii="Arial;sans-serif" w:hAnsi="Arial;sans-serif"/>
          <w:b w:val="false"/>
          <w:color w:val="0000FF"/>
          <w:sz w:val="20"/>
        </w:rPr>
        <w:t>Instagram</w:t>
      </w:r>
      <w:r>
        <w:rPr>
          <w:rFonts w:ascii="Arial;sans-serif" w:hAnsi="Arial;sans-serif"/>
          <w:b w:val="false"/>
          <w:color w:val="000000"/>
          <w:sz w:val="20"/>
        </w:rPr>
        <w:t xml:space="preserve">, and </w:t>
      </w:r>
      <w:r>
        <w:rPr>
          <w:rFonts w:ascii="Arial;sans-serif" w:hAnsi="Arial;sans-serif"/>
          <w:b w:val="false"/>
          <w:color w:val="0000FF"/>
          <w:sz w:val="20"/>
        </w:rPr>
        <w:t>LinkedIn</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before="0" w:after="0"/>
        <w:jc w:val="both"/>
        <w:rPr/>
      </w:pPr>
      <w:r>
        <w:rPr/>
      </w:r>
    </w:p>
    <w:p>
      <w:pPr>
        <w:pStyle w:val="TextBody"/>
        <w:bidi w:val="0"/>
        <w:spacing w:lineRule="auto" w:line="276"/>
        <w:jc w:val="both"/>
        <w:rPr/>
      </w:pPr>
      <w:r>
        <w:rPr>
          <w:rFonts w:ascii="Arial;sans-serif" w:hAnsi="Arial;sans-serif"/>
          <w:b w:val="false"/>
          <w:i/>
          <w:color w:val="000000"/>
          <w:sz w:val="20"/>
        </w:rPr>
        <w:t>Statements in this press release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 objectives; statements relating to the expected timing of initiation, completion, and results and data of Legend Biotech’s early-stage cell therapy portfolio; statements relating to CARVYKTI</w:t>
      </w:r>
      <w:r>
        <w:rPr>
          <w:rFonts w:ascii="Arial;sans-serif" w:hAnsi="Arial;sans-serif"/>
          <w:b w:val="false"/>
          <w:i/>
          <w:color w:val="000000"/>
          <w:sz w:val="13"/>
        </w:rPr>
        <w:t>®</w:t>
      </w:r>
      <w:r>
        <w:rPr>
          <w:rFonts w:ascii="Arial;sans-serif" w:hAnsi="Arial;sans-serif"/>
          <w:b w:val="false"/>
          <w:i/>
          <w:color w:val="000000"/>
          <w:sz w:val="20"/>
        </w:rPr>
        <w:t>, including Legend Biotech’s expectations for CARVYKTI</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0"/>
        </w:rPr>
        <w:t xml:space="preserve">and its therapeutic potential; statements relating to the potential of LB2102 and LB2501, including the reproducibility and durability of any favorable results initially seen in patients dosed to date in clinical trials; statements related to Legend Biotech’s ability to fund its operations beyond 2026 and to achieve profitability in 2026; and the potential benefits of Legend Biotech’s product candidates.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Legend Biotech’s third party partners; uncertainties arising from challenges to Legend Biotech’s patent or other proprietary intellectual property protection, including the uncertainties involved in the U.S. litigation process; government, industry, and general product pricing and other political pressures; as well as the other factors discussed in the “Risk Factors” section of Legend Biotech’s Annual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Report on Form 20-F for the year ended December 31, 2025 filed with the Securities and Exchange Commission (SEC) on March 10, 2026 and Legend Biotech’s other filings with the SEC.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of this press release. Legend Biotech specifically disclaims any obligation to update any forward-looking statement, whether as a result of new information, future events or otherwise.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Caroline Paul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Tel: (973) 650-5832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caroline.paul@legendbiotech.com</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PRESS CONTACT: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Kim Fox</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Tel: (848) 388-8445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media@legendbiotech.com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LEGEND BIOTECH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CONDENSED CONSOLIDATED STATEMENTS OF PROFIT OR LOSS</w:t>
      </w:r>
    </w:p>
    <w:p>
      <w:pPr>
        <w:pStyle w:val="TextBody"/>
        <w:bidi w:val="0"/>
        <w:spacing w:before="0" w:after="0"/>
        <w:jc w:val="center"/>
        <w:rPr/>
      </w:pPr>
      <w:r>
        <w:rPr/>
      </w:r>
    </w:p>
    <w:tbl>
      <w:tblPr>
        <w:tblW w:w="9132" w:type="dxa"/>
        <w:jc w:val="center"/>
        <w:tblInd w:w="0" w:type="dxa"/>
        <w:tblLayout w:type="fixed"/>
        <w:tblCellMar>
          <w:top w:w="28" w:type="dxa"/>
          <w:left w:w="28" w:type="dxa"/>
          <w:bottom w:w="28" w:type="dxa"/>
          <w:right w:w="28" w:type="dxa"/>
        </w:tblCellMar>
      </w:tblPr>
      <w:tblGrid>
        <w:gridCol w:w="1248"/>
        <w:gridCol w:w="1096"/>
        <w:gridCol w:w="1105"/>
        <w:gridCol w:w="109"/>
        <w:gridCol w:w="109"/>
        <w:gridCol w:w="109"/>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Collaboration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license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distribution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Weighted average shares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*Certain prior year amounts included within other revenue have been combined into the license and other revenue line for comparative purposes.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Certain prior year amounts have been reclassified to present loss on asset impairment into the other operating expenses line for comparative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LEGEND BIOTECH CORPORATION</w:t>
      </w:r>
    </w:p>
    <w:p>
      <w:pPr>
        <w:pStyle w:val="TextBody"/>
        <w:bidi w:val="0"/>
        <w:spacing w:lineRule="auto" w:line="240" w:before="0" w:after="0"/>
        <w:jc w:val="center"/>
        <w:rPr/>
      </w:pPr>
      <w:r>
        <w:rPr>
          <w:rFonts w:ascii="Arial;sans-serif" w:hAnsi="Arial;sans-serif"/>
          <w:b/>
          <w:color w:val="000000"/>
          <w:sz w:val="20"/>
        </w:rPr>
        <w:t>CONDENSED CONSOLIDATED STATEMENTS OF FINANCIAL POSITION AT JUNE 30, 2026 AND DECEMBER 31, 2025</w:t>
      </w:r>
      <w:r>
        <w:rPr>
          <w:color w:val="000000"/>
        </w:rPr>
        <w:t xml:space="preserve"> </w:t>
      </w:r>
    </w:p>
    <w:p>
      <w:pPr>
        <w:pStyle w:val="TextBody"/>
        <w:bidi w:val="0"/>
        <w:spacing w:before="0" w:after="0"/>
        <w:jc w:val="center"/>
        <w:rPr/>
      </w:pPr>
      <w:r>
        <w:rPr/>
      </w:r>
    </w:p>
    <w:p>
      <w:pPr>
        <w:pStyle w:val="TextBody"/>
        <w:bidi w:val="0"/>
        <w:spacing w:before="0" w:after="0"/>
        <w:jc w:val="center"/>
        <w:rPr/>
      </w:pPr>
      <w:r>
        <w:rPr/>
      </w:r>
    </w:p>
    <w:tbl>
      <w:tblPr>
        <w:tblW w:w="8082" w:type="dxa"/>
        <w:jc w:val="center"/>
        <w:tblInd w:w="0" w:type="dxa"/>
        <w:tblLayout w:type="fixed"/>
        <w:tblCellMar>
          <w:top w:w="28" w:type="dxa"/>
          <w:left w:w="28" w:type="dxa"/>
          <w:bottom w:w="28" w:type="dxa"/>
          <w:right w:w="28" w:type="dxa"/>
        </w:tblCellMar>
      </w:tblPr>
      <w:tblGrid>
        <w:gridCol w:w="1641"/>
        <w:gridCol w:w="1442"/>
        <w:gridCol w:w="1447"/>
        <w:gridCol w:w="109"/>
        <w:gridCol w:w="109"/>
        <w:gridCol w:w="109"/>
        <w:gridCol w:w="227"/>
        <w:gridCol w:w="825"/>
        <w:gridCol w:w="117"/>
        <w:gridCol w:w="109"/>
        <w:gridCol w:w="109"/>
        <w:gridCol w:w="109"/>
        <w:gridCol w:w="306"/>
        <w:gridCol w:w="1111"/>
        <w:gridCol w:w="158"/>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Collaboration prepaid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Collaboration 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Prepayments, other receivables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payables and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Collaboration interest-bearing advanced funding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 long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1,750.9 </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1,733.7 </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LEGEND BIOTECH CORPORATION</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 CONDENSED CONSOLIDATED STATEMENTS OF CASH FLOW</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39"/>
        <w:gridCol w:w="1353"/>
        <w:gridCol w:w="1357"/>
        <w:gridCol w:w="109"/>
        <w:gridCol w:w="109"/>
        <w:gridCol w:w="109"/>
        <w:gridCol w:w="211"/>
        <w:gridCol w:w="616"/>
        <w:gridCol w:w="109"/>
        <w:gridCol w:w="109"/>
        <w:gridCol w:w="109"/>
        <w:gridCol w:w="109"/>
        <w:gridCol w:w="211"/>
        <w:gridCol w:w="672"/>
        <w:gridCol w:w="109"/>
        <w:gridCol w:w="109"/>
        <w:gridCol w:w="109"/>
        <w:gridCol w:w="109"/>
        <w:gridCol w:w="211"/>
        <w:gridCol w:w="616"/>
        <w:gridCol w:w="109"/>
        <w:gridCol w:w="109"/>
        <w:gridCol w:w="109"/>
        <w:gridCol w:w="109"/>
        <w:gridCol w:w="211"/>
        <w:gridCol w:w="672"/>
        <w:gridCol w:w="109"/>
        <w:gridCol w:w="109"/>
        <w:gridCol w:w="109"/>
        <w:gridCol w:w="109"/>
        <w:gridCol w:w="109"/>
        <w:gridCol w:w="156"/>
      </w:tblGrid>
      <w:tr>
        <w:trPr/>
        <w:tc>
          <w:tcPr>
            <w:tcW w:w="173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4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(used in)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foreign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at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CASH AND CASH EQUIVALENTS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OF IFRS TO NON-IFRS MEASURES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use Adjusted Net Income (Loss) and Adjusted Net Income (Loss) per Share (which we sometimes refer to as “Adjusted EPS” or “ANI per Share”, respectively) as performance metrics. Adjusted Net Income (Loss) and ANI per share are not defined under IFRS, are not a measure of operating income, operating performance, or liquidity presented in accordance with IFRS, and are subject to important limitations. Our use of Adjusted Net Income (Loss) has limitations as an analytical tool, and you should not consider it in isolation or as a substitute for analysis of our results as reported under IFRS. For example:</w:t>
      </w:r>
    </w:p>
    <w:p>
      <w:pPr>
        <w:pStyle w:val="TextBody"/>
        <w:bidi w:val="0"/>
        <w:spacing w:before="0" w:after="0"/>
        <w:jc w:val="both"/>
        <w:rPr/>
      </w:pPr>
      <w:r>
        <w:rPr/>
      </w:r>
    </w:p>
    <w:p>
      <w:pPr>
        <w:pStyle w:val="TextBody"/>
        <w:bidi w:val="0"/>
        <w:spacing w:lineRule="auto" w:line="276" w:before="0" w:after="0"/>
        <w:ind w:left="0" w:right="0" w:hanging="720"/>
        <w:jc w:val="both"/>
        <w:rPr/>
      </w:pPr>
      <w:r>
        <w:rPr>
          <w:color w:val="000000"/>
        </w:rPr>
        <w:t>•</w:t>
      </w:r>
      <w:r>
        <w:rPr>
          <w:rFonts w:ascii="Arial;sans-serif" w:hAnsi="Arial;sans-serif"/>
          <w:b w:val="false"/>
          <w:color w:val="000000"/>
          <w:sz w:val="20"/>
        </w:rPr>
        <w:t>Although depreciation and amortization are non-cash charges, the assets being depreciated and amortized may have to be replaced in the future, and Adjusted Net Income (Loss) does not reflect cash capital expenditure requirements for such replacements or for new capital expenditure requirements.</w:t>
      </w:r>
    </w:p>
    <w:p>
      <w:pPr>
        <w:pStyle w:val="TextBody"/>
        <w:bidi w:val="0"/>
        <w:spacing w:before="0" w:after="0"/>
        <w:jc w:val="both"/>
        <w:rPr/>
      </w:pPr>
      <w:r>
        <w:rPr/>
      </w:r>
    </w:p>
    <w:p>
      <w:pPr>
        <w:pStyle w:val="TextBody"/>
        <w:bidi w:val="0"/>
        <w:spacing w:lineRule="auto" w:line="276" w:before="0" w:after="0"/>
        <w:ind w:left="0" w:right="0" w:hanging="720"/>
        <w:jc w:val="both"/>
        <w:rPr/>
      </w:pPr>
      <w:r>
        <w:rPr>
          <w:color w:val="000000"/>
        </w:rPr>
        <w:t>•</w:t>
      </w:r>
      <w:r>
        <w:rPr>
          <w:rFonts w:ascii="Arial;sans-serif" w:hAnsi="Arial;sans-serif"/>
          <w:b w:val="false"/>
          <w:color w:val="000000"/>
          <w:sz w:val="20"/>
        </w:rPr>
        <w:t>Adjusted Net Income (Loss) excludes unrealized foreign exchange gain or loss.</w:t>
      </w:r>
    </w:p>
    <w:p>
      <w:pPr>
        <w:pStyle w:val="TextBody"/>
        <w:bidi w:val="0"/>
        <w:spacing w:before="0" w:after="0"/>
        <w:jc w:val="both"/>
        <w:rPr/>
      </w:pPr>
      <w:r>
        <w:rPr/>
      </w:r>
    </w:p>
    <w:p>
      <w:pPr>
        <w:pStyle w:val="TextBody"/>
        <w:bidi w:val="0"/>
        <w:spacing w:lineRule="auto" w:line="276" w:before="0" w:after="0"/>
        <w:ind w:left="0" w:right="0" w:hanging="720"/>
        <w:jc w:val="both"/>
        <w:rPr/>
      </w:pPr>
      <w:r>
        <w:rPr>
          <w:color w:val="000000"/>
        </w:rPr>
        <w:t>•</w:t>
      </w:r>
      <w:r>
        <w:rPr>
          <w:rFonts w:ascii="Arial;sans-serif" w:hAnsi="Arial;sans-serif"/>
          <w:b w:val="false"/>
          <w:color w:val="000000"/>
          <w:sz w:val="20"/>
        </w:rPr>
        <w:t>Adjusted Net Income (Loss) does not reflect changes in, or cash requirements for, our working capital needs.</w:t>
      </w:r>
    </w:p>
    <w:p>
      <w:pPr>
        <w:pStyle w:val="TextBody"/>
        <w:bidi w:val="0"/>
        <w:spacing w:before="0" w:after="0"/>
        <w:jc w:val="both"/>
        <w:rPr/>
      </w:pPr>
      <w:r>
        <w:rPr/>
      </w:r>
    </w:p>
    <w:p>
      <w:pPr>
        <w:pStyle w:val="TextBody"/>
        <w:bidi w:val="0"/>
        <w:spacing w:lineRule="auto" w:line="276" w:before="0" w:after="0"/>
        <w:ind w:left="0" w:right="0" w:hanging="720"/>
        <w:jc w:val="both"/>
        <w:rPr/>
      </w:pPr>
      <w:r>
        <w:rPr>
          <w:color w:val="000000"/>
        </w:rPr>
        <w:t>•</w:t>
      </w:r>
      <w:r>
        <w:rPr>
          <w:rFonts w:ascii="Arial;sans-serif" w:hAnsi="Arial;sans-serif"/>
          <w:b w:val="false"/>
          <w:color w:val="000000"/>
          <w:sz w:val="20"/>
        </w:rPr>
        <w:t>In addition, Adjusted Net Income (Loss) excludes items such as share-based compensation expense, which has been, and will continue to be for the foreseeable future, non-cash expense for our business and an important part of our compensation strategy.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Also, our definition of Adjusted Net Income (Loss) and ANI per Share may not be the same as similarly titled measures used by other companies.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However, we believe that providing information concerning Adjusted Net Income (Loss) and ANI per Share enhances an investor’s understanding of our financial performance. We use Adjusted Net Income (Loss) as a performance metric that guides management in its operation of and planning for the future of the business. We believe that Adjusted Net Income (Loss) provides a useful measure of our operating performance from period to period by excluding certain items that we believe are not representative of our core business. We define Adjusted Net Income (Loss) as net income (loss) adjusted for (1) non-cash items such as depreciation and amortization, share-based compensation, impairment loss, and (2) unrealized foreign exchange gain or loss.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ANI per Share is computed by dividing Adjusted Net Income (Loss) by the weighted average shares outstanding.</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 reconciliation between Adjusted Net Income (Loss) and Net Income (Loss), the most directly comparable measure under IFRS, has been provided in the table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LEGEND BIOTECH CORPORATION</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RECONCILIATION OF IFRS TO NON-IFRS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8234" w:type="dxa"/>
        <w:jc w:val="center"/>
        <w:tblInd w:w="0" w:type="dxa"/>
        <w:tblLayout w:type="fixed"/>
        <w:tblCellMar>
          <w:top w:w="28" w:type="dxa"/>
          <w:left w:w="28" w:type="dxa"/>
          <w:bottom w:w="28" w:type="dxa"/>
          <w:right w:w="28" w:type="dxa"/>
        </w:tblCellMar>
      </w:tblPr>
      <w:tblGrid>
        <w:gridCol w:w="1248"/>
        <w:gridCol w:w="1096"/>
        <w:gridCol w:w="1105"/>
        <w:gridCol w:w="211"/>
        <w:gridCol w:w="511"/>
        <w:gridCol w:w="109"/>
        <w:gridCol w:w="109"/>
        <w:gridCol w:w="109"/>
        <w:gridCol w:w="109"/>
        <w:gridCol w:w="211"/>
        <w:gridCol w:w="691"/>
        <w:gridCol w:w="109"/>
        <w:gridCol w:w="109"/>
        <w:gridCol w:w="109"/>
        <w:gridCol w:w="109"/>
        <w:gridCol w:w="211"/>
        <w:gridCol w:w="586"/>
        <w:gridCol w:w="109"/>
        <w:gridCol w:w="109"/>
        <w:gridCol w:w="109"/>
        <w:gridCol w:w="109"/>
        <w:gridCol w:w="211"/>
        <w:gridCol w:w="69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 except per share data)</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616" w:type="dxa"/>
            <w:gridSpan w:val="12"/>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Impairment charges </w:t>
            </w:r>
            <w:r>
              <w:rPr>
                <w:rFonts w:ascii="Arial;sans-serif" w:hAnsi="Arial;sans-serif"/>
                <w:b w:val="false"/>
                <w:color w:val="000000"/>
                <w:sz w:val="12"/>
              </w:rPr>
              <w:t>(1)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Unrealized foreign exchange loss </w:t>
            </w:r>
            <w:r>
              <w:rPr>
                <w:rFonts w:ascii="Arial;sans-serif" w:hAnsi="Arial;sans-serif"/>
                <w:b w:val="false"/>
                <w:color w:val="000000"/>
                <w:sz w:val="12"/>
              </w:rPr>
              <w:t>(2)</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Adjusted net income (loss)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ANI (ANL) per share:</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diluted weighted average shares outstanding used in the calculation of the diluted ANI per share for the three months ended June 30, 2026 is 387.6 million shares, and for the six months ended June 30, 2026, is 386.0 million shares. </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Included in Other operating expenses</w:t>
      </w:r>
    </w:p>
    <w:p>
      <w:pPr>
        <w:pStyle w:val="TextBody"/>
        <w:bidi w:val="0"/>
        <w:spacing w:lineRule="auto" w:line="288" w:before="0" w:after="0"/>
        <w:jc w:val="left"/>
        <w:rPr/>
      </w:pPr>
      <w:r>
        <w:rPr>
          <w:rFonts w:ascii="Arial;sans-serif" w:hAnsi="Arial;sans-serif"/>
          <w:b w:val="false"/>
          <w:color w:val="000000"/>
          <w:sz w:val="13"/>
        </w:rPr>
        <w:t xml:space="preserve">(2) </w:t>
      </w:r>
      <w:r>
        <w:rPr>
          <w:rFonts w:ascii="Arial;sans-serif" w:hAnsi="Arial;sans-serif"/>
          <w:b w:val="false"/>
          <w:color w:val="000000"/>
          <w:sz w:val="20"/>
        </w:rPr>
        <w:t>Included in Other expense, net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LEGEND BIOTECH CORPORATION</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RECONCILIATION OF CARVYKTI REVENUE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17"/>
        <w:gridCol w:w="454"/>
        <w:gridCol w:w="456"/>
        <w:gridCol w:w="642"/>
        <w:gridCol w:w="1878"/>
        <w:gridCol w:w="331"/>
        <w:gridCol w:w="109"/>
        <w:gridCol w:w="109"/>
        <w:gridCol w:w="109"/>
        <w:gridCol w:w="339"/>
        <w:gridCol w:w="993"/>
        <w:gridCol w:w="175"/>
        <w:gridCol w:w="109"/>
        <w:gridCol w:w="109"/>
        <w:gridCol w:w="109"/>
        <w:gridCol w:w="537"/>
        <w:gridCol w:w="1570"/>
        <w:gridCol w:w="277"/>
        <w:gridCol w:w="109"/>
        <w:gridCol w:w="109"/>
        <w:gridCol w:w="109"/>
        <w:gridCol w:w="286"/>
        <w:gridCol w:w="550"/>
        <w:gridCol w:w="219"/>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 per J&amp;J Q2 2026 Earnings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Legend’s 50%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Legend Reported Q2 2026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F/X Variance</w:t>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ROW</w:t>
            </w:r>
          </w:p>
        </w:tc>
        <w:tc>
          <w:tcPr>
            <w:tcW w:w="2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326.1 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99.4</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Supplemental Risk Factor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document, you should consider the factors discussed in the section entitled “Risk Factors” in our Annual Report, which could materially affect our business, financial condition, or future results. Other than the risk factor noted below, there has been no material change to the risk factors disclosed in our Annual Report.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corporate structure and intercompany transfer pricing arrangements are subject to the tax laws of various jurisdictions, and we could be obligated to pay additional taxes, which could negatively impact our cash flows and financial condition.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operations through wholly owned subsidiaries and are or may be required to allocate our taxable income among the various jurisdictions in which we operate, or may operate in the future, based upon our business operations in those jurisdictions. Our intercompany relationships are subject to complex transfer pricing rules administered by taxing authorities in various jurisdictions in which we operate, including the United States, Ireland, Belgium, and the PRC, with potentially divergent tax laws. The amount of taxes we pay in different jurisdictions will depend on the application of the tax laws of the various jurisdictions to our intercompany transactions, and it is not uncommon for tax authorities in different countries to have conflicting views on the application of transfer pricing laws, including the manner in which the arm’s length standard is applied for transfer pricing purposes, or with respect to the valuation of our intellectual property.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continue to negotiate an advance pricing agreement (“APA”) with the PRC tax authorities, which will determine certain transfer pricing methodologies between our legal entities for purposes of PRC law. An APA, if obtained and implemented, will provide us with greater certainty regarding our tax obligations in respect of our intercompany transactions with our PRC entities within the scope of the APA. If we agree to an APA with the PRC tax authorities, we may, as part of that agreement, be required to allocate significant taxable income to the PRC. Alternatively, if we are unable to agree upon an APA, the PRC tax authorities may initiate an audit of our intercompany agreements and transactions, which may result in a potential tax assessment. Furthermore, tax authorities other than the PRC government will not be bound by the APA and may challenge the agreed transfer pricing methodology set forth therein. For more information, see Note 9, Income Taxes to our consolidated financial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these outcomes could affect our financial position and overall or effective tax rates in the future in countries where we have operations, reduce post-tax returns to our shareholders, and increase the complexity, burden and cost of tax compliance.</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14309</Words>
  <Characters>79946</Characters>
  <CharactersWithSpaces>93036</CharactersWithSpaces>
  <Paragraphs>1924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