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3"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834390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757555</wp:posOffset>
            </wp:positionV>
            <wp:extent cx="713232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UNITED STATES</w:t>
      </w:r>
    </w:p>
    <w:p>
      <w:pPr>
        <w:jc w:val="center"/>
        <w:ind w:right="-1120"/>
        <w:spacing w:after="0" w:line="212" w:lineRule="auto"/>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 w:lineRule="exact"/>
        <w:rPr>
          <w:sz w:val="24"/>
          <w:szCs w:val="24"/>
          <w:color w:val="auto"/>
        </w:rPr>
      </w:pPr>
    </w:p>
    <w:p>
      <w:pPr>
        <w:ind w:left="45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313055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6"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336550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8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Report of Foreign Private Issuer</w:t>
      </w:r>
    </w:p>
    <w:p>
      <w:pPr>
        <w:jc w:val="center"/>
        <w:ind w:right="-1120"/>
        <w:spacing w:after="0" w:line="204" w:lineRule="auto"/>
        <w:rPr>
          <w:sz w:val="20"/>
          <w:szCs w:val="20"/>
          <w:color w:val="auto"/>
        </w:rPr>
      </w:pPr>
      <w:r>
        <w:rPr>
          <w:rFonts w:ascii="Times New Roman" w:cs="Times New Roman" w:eastAsia="Times New Roman" w:hAnsi="Times New Roman"/>
          <w:sz w:val="22"/>
          <w:szCs w:val="22"/>
          <w:b w:val="1"/>
          <w:bCs w:val="1"/>
          <w:color w:val="auto"/>
        </w:rPr>
        <w:t>Pursuant to Rule 13a-16 or 15d-16</w:t>
      </w:r>
    </w:p>
    <w:p>
      <w:pPr>
        <w:spacing w:after="0" w:line="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6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Date of Report: March 29, 2024</w:t>
      </w:r>
    </w:p>
    <w:p>
      <w:pPr>
        <w:spacing w:after="0" w:line="18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Commission File Number: 001-39307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328295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43"/>
          <w:szCs w:val="43"/>
          <w:b w:val="1"/>
          <w:bCs w:val="1"/>
          <w:color w:val="auto"/>
        </w:rPr>
        <w:t>Legend Biotech Corporation</w:t>
      </w:r>
    </w:p>
    <w:p>
      <w:pPr>
        <w:spacing w:after="0" w:line="4"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313055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2101 Cottontail Lane</w:t>
      </w:r>
    </w:p>
    <w:p>
      <w:pPr>
        <w:jc w:val="center"/>
        <w:ind w:right="-1120"/>
        <w:spacing w:after="0" w:line="209" w:lineRule="auto"/>
        <w:rPr>
          <w:sz w:val="20"/>
          <w:szCs w:val="20"/>
          <w:color w:val="auto"/>
        </w:rPr>
      </w:pPr>
      <w:r>
        <w:rPr>
          <w:rFonts w:ascii="Times New Roman" w:cs="Times New Roman" w:eastAsia="Times New Roman" w:hAnsi="Times New Roman"/>
          <w:sz w:val="18"/>
          <w:szCs w:val="18"/>
          <w:b w:val="1"/>
          <w:bCs w:val="1"/>
          <w:color w:val="auto"/>
        </w:rPr>
        <w:t>Somerset, New Jersey 08873</w:t>
      </w:r>
    </w:p>
    <w:p>
      <w:pPr>
        <w:ind w:left="446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321945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44" w:lineRule="exact"/>
        <w:rPr>
          <w:sz w:val="24"/>
          <w:szCs w:val="24"/>
          <w:color w:val="auto"/>
        </w:rPr>
      </w:pPr>
    </w:p>
    <w:p>
      <w:pPr>
        <w:ind w:left="4320"/>
        <w:spacing w:after="0" w:line="207" w:lineRule="exact"/>
        <w:tabs>
          <w:tab w:leader="none" w:pos="588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Form 40-F </w:t>
      </w:r>
      <w:r>
        <w:rPr>
          <w:rFonts w:ascii="MS PGothic" w:cs="MS PGothic" w:eastAsia="MS PGothic" w:hAnsi="MS PGothic"/>
          <w:sz w:val="18"/>
          <w:szCs w:val="18"/>
          <w:color w:val="auto"/>
        </w:rPr>
        <w:t>☐</w:t>
      </w:r>
    </w:p>
    <w:p>
      <w:pPr>
        <w:spacing w:after="0" w:line="198"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198"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ectPr>
          <w:pgSz w:w="11900" w:h="16838" w:orient="portrait"/>
          <w:cols w:equalWidth="0" w:num="1">
            <w:col w:w="10139"/>
          </w:cols>
          <w:pgMar w:left="320" w:top="1440"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Legend Biotech USA Inc. Enters into Master Manufacturing and Supply Services Agreement with Novartis Pharmaceuticals Corporation</w:t>
      </w:r>
    </w:p>
    <w:p>
      <w:pPr>
        <w:spacing w:after="0" w:line="239"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On March 27, 2024, Legend Biotech USA Inc. (“</w:t>
      </w:r>
      <w:r>
        <w:rPr>
          <w:rFonts w:ascii="Times New Roman" w:cs="Times New Roman" w:eastAsia="Times New Roman" w:hAnsi="Times New Roman"/>
          <w:sz w:val="18"/>
          <w:szCs w:val="18"/>
          <w:b w:val="1"/>
          <w:bCs w:val="1"/>
          <w:color w:val="auto"/>
        </w:rPr>
        <w:t>Legend</w:t>
      </w:r>
      <w:r>
        <w:rPr>
          <w:rFonts w:ascii="Times New Roman" w:cs="Times New Roman" w:eastAsia="Times New Roman" w:hAnsi="Times New Roman"/>
          <w:sz w:val="18"/>
          <w:szCs w:val="18"/>
          <w:color w:val="auto"/>
        </w:rPr>
        <w:t>”), a wholly-owned subsidiary of Legend Biotech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Janssen Pharmaceuticals Inc. (“</w:t>
      </w:r>
      <w:r>
        <w:rPr>
          <w:rFonts w:ascii="Times New Roman" w:cs="Times New Roman" w:eastAsia="Times New Roman" w:hAnsi="Times New Roman"/>
          <w:sz w:val="18"/>
          <w:szCs w:val="18"/>
          <w:b w:val="1"/>
          <w:bCs w:val="1"/>
          <w:color w:val="auto"/>
        </w:rPr>
        <w:t>Janssen</w:t>
      </w:r>
      <w:r>
        <w:rPr>
          <w:rFonts w:ascii="Times New Roman" w:cs="Times New Roman" w:eastAsia="Times New Roman" w:hAnsi="Times New Roman"/>
          <w:sz w:val="18"/>
          <w:szCs w:val="18"/>
          <w:color w:val="auto"/>
        </w:rPr>
        <w:t>” and together with Legend, the “</w:t>
      </w:r>
      <w:r>
        <w:rPr>
          <w:rFonts w:ascii="Times New Roman" w:cs="Times New Roman" w:eastAsia="Times New Roman" w:hAnsi="Times New Roman"/>
          <w:sz w:val="18"/>
          <w:szCs w:val="18"/>
          <w:b w:val="1"/>
          <w:bCs w:val="1"/>
          <w:color w:val="auto"/>
        </w:rPr>
        <w:t>Collaboration Partners</w:t>
      </w:r>
      <w:r>
        <w:rPr>
          <w:rFonts w:ascii="Times New Roman" w:cs="Times New Roman" w:eastAsia="Times New Roman" w:hAnsi="Times New Roman"/>
          <w:sz w:val="18"/>
          <w:szCs w:val="18"/>
          <w:color w:val="auto"/>
        </w:rPr>
        <w:t>”) and Novartis Pharmaceuticals Corporation (“</w:t>
      </w:r>
      <w:r>
        <w:rPr>
          <w:rFonts w:ascii="Times New Roman" w:cs="Times New Roman" w:eastAsia="Times New Roman" w:hAnsi="Times New Roman"/>
          <w:sz w:val="18"/>
          <w:szCs w:val="18"/>
          <w:b w:val="1"/>
          <w:bCs w:val="1"/>
          <w:color w:val="auto"/>
        </w:rPr>
        <w:t>Novartis</w:t>
      </w:r>
      <w:r>
        <w:rPr>
          <w:rFonts w:ascii="Times New Roman" w:cs="Times New Roman" w:eastAsia="Times New Roman" w:hAnsi="Times New Roman"/>
          <w:sz w:val="18"/>
          <w:szCs w:val="18"/>
          <w:color w:val="auto"/>
        </w:rPr>
        <w:t>”) entered into a Master Manufacturing and Supply Services Agreement for BCMA CAR-T Product (the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pursuant to which Novartis will perform contract manufacturing services for the Collaboration Partners for the clinical and commercial supply of ciltacabtagene autoleucel (cilta-cel) (the “</w:t>
      </w:r>
      <w:r>
        <w:rPr>
          <w:rFonts w:ascii="Times New Roman" w:cs="Times New Roman" w:eastAsia="Times New Roman" w:hAnsi="Times New Roman"/>
          <w:sz w:val="18"/>
          <w:szCs w:val="18"/>
          <w:b w:val="1"/>
          <w:bCs w:val="1"/>
          <w:color w:val="auto"/>
        </w:rPr>
        <w:t>Product</w:t>
      </w:r>
      <w:r>
        <w:rPr>
          <w:rFonts w:ascii="Times New Roman" w:cs="Times New Roman" w:eastAsia="Times New Roman" w:hAnsi="Times New Roman"/>
          <w:sz w:val="18"/>
          <w:szCs w:val="18"/>
          <w:color w:val="auto"/>
        </w:rPr>
        <w:t>”) to supplement the Collaboration Partners’ manufacturing capabilities.</w:t>
      </w:r>
    </w:p>
    <w:p>
      <w:pPr>
        <w:spacing w:after="0" w:line="21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The Agreement is effective as of March 27, 2024 with an initial term through December 31, 2029, unless terminated earlier. The Agreement may be terminated (i) by the Collaboration Partners at any time for convenience after notice is provided for a specified period, (ii) if a party commits an uncured material breach of the Agreement, (iii) by the Collaboration Partners if Novartis undergoes a change in control, (iv) upon the occurrence of specified events of insolvency of Janssen or Novartis or (v) by the Collaboration Partners, in the event Novartis has not provided certain regulatory documentation for a Qualified Suite (as defined below) within by a specified deadline or in the event of certain performance failures by Novartis. Additionally, Qualified Suites (defined below) may be terminated (the “</w:t>
      </w:r>
      <w:r>
        <w:rPr>
          <w:rFonts w:ascii="Times New Roman" w:cs="Times New Roman" w:eastAsia="Times New Roman" w:hAnsi="Times New Roman"/>
          <w:sz w:val="18"/>
          <w:szCs w:val="18"/>
          <w:b w:val="1"/>
          <w:bCs w:val="1"/>
          <w:color w:val="auto"/>
        </w:rPr>
        <w:t>Released Suites</w:t>
      </w:r>
      <w:r>
        <w:rPr>
          <w:rFonts w:ascii="Times New Roman" w:cs="Times New Roman" w:eastAsia="Times New Roman" w:hAnsi="Times New Roman"/>
          <w:sz w:val="18"/>
          <w:szCs w:val="18"/>
          <w:color w:val="auto"/>
        </w:rPr>
        <w:t>”) after a specified notice period in the event of certain instances of performance failures by Novartis or in the event Novartis has not provided certain regulatory documentation for a Qualified Suite (as defined below) within by a specified deadline.</w:t>
      </w:r>
    </w:p>
    <w:p>
      <w:pPr>
        <w:spacing w:after="0" w:line="21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 Agreement requires Novartis to initiate activities to manufacture the Product in a specified number of qualified suites, which are suites that have been reserved by the Collaboration Partners to perform the contract manufacturing services for the Product after receipt of regulatory approval (the “</w:t>
      </w:r>
      <w:r>
        <w:rPr>
          <w:rFonts w:ascii="Times New Roman" w:cs="Times New Roman" w:eastAsia="Times New Roman" w:hAnsi="Times New Roman"/>
          <w:sz w:val="18"/>
          <w:szCs w:val="18"/>
          <w:b w:val="1"/>
          <w:bCs w:val="1"/>
          <w:color w:val="auto"/>
        </w:rPr>
        <w:t>Qualified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Suites</w:t>
      </w:r>
      <w:r>
        <w:rPr>
          <w:rFonts w:ascii="Times New Roman" w:cs="Times New Roman" w:eastAsia="Times New Roman" w:hAnsi="Times New Roman"/>
          <w:sz w:val="18"/>
          <w:szCs w:val="18"/>
          <w:color w:val="auto"/>
        </w:rPr>
        <w:t>”). The Collaboration Partners will work with Novartis to facilitate the exchange of information necessary for Novartis to perform the contract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manufacturing services and to obtain the applicable licenses and permits.</w:t>
      </w:r>
    </w:p>
    <w:p>
      <w:pPr>
        <w:spacing w:after="0" w:line="208"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The Agreement requires the Collaboration Partners to purchase a specified percentage of the capacity of Qualified Suites for each 6-month period under the Agreement (the “</w:t>
      </w:r>
      <w:r>
        <w:rPr>
          <w:rFonts w:ascii="Times New Roman" w:cs="Times New Roman" w:eastAsia="Times New Roman" w:hAnsi="Times New Roman"/>
          <w:sz w:val="18"/>
          <w:szCs w:val="18"/>
          <w:b w:val="1"/>
          <w:bCs w:val="1"/>
          <w:color w:val="auto"/>
        </w:rPr>
        <w:t>Volume Commitment</w:t>
      </w:r>
      <w:r>
        <w:rPr>
          <w:rFonts w:ascii="Times New Roman" w:cs="Times New Roman" w:eastAsia="Times New Roman" w:hAnsi="Times New Roman"/>
          <w:sz w:val="18"/>
          <w:szCs w:val="18"/>
          <w:color w:val="auto"/>
        </w:rPr>
        <w:t>”), subject to adjustment for any Released Suites. If the Collaboration Partners fail to purchase sufficient batches to achieve the Volume Commitment (other than for exceptions specified in the Agreement), the Collaboration Partners are required to pay Novartis the amount to make up the deficit, subject to the Collaboration Partners’ ability to carry-over a certain percentage of any overachievement of the Volume Commitment during a six-month period to an immediately subsequent or prior six-month period during the same calendar year to cure any deficit. The Agreement also includes specified performance metrics (“</w:t>
      </w:r>
      <w:r>
        <w:rPr>
          <w:rFonts w:ascii="Times New Roman" w:cs="Times New Roman" w:eastAsia="Times New Roman" w:hAnsi="Times New Roman"/>
          <w:sz w:val="18"/>
          <w:szCs w:val="18"/>
          <w:b w:val="1"/>
          <w:bCs w:val="1"/>
          <w:color w:val="auto"/>
        </w:rPr>
        <w:t>KPIs</w:t>
      </w:r>
      <w:r>
        <w:rPr>
          <w:rFonts w:ascii="Times New Roman" w:cs="Times New Roman" w:eastAsia="Times New Roman" w:hAnsi="Times New Roman"/>
          <w:sz w:val="18"/>
          <w:szCs w:val="18"/>
          <w:color w:val="auto"/>
        </w:rPr>
        <w:t>”) that Novartis will be expected to meet when performing the contracting manufacturing services. The Agreement includes certain remedies if Novartis does not meet its KPIs.</w:t>
      </w:r>
    </w:p>
    <w:p>
      <w:pPr>
        <w:spacing w:after="0" w:line="21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Agreement includes specified tiered pricing based upon, among other factors, the number of batches ordered by the Collaboration Partners during the applicable calendar year. In addition, the Collaboration Partners will be required to reimburse Novartis for costs of certain raw materials used in manufacturing the Product.</w:t>
      </w:r>
    </w:p>
    <w:p>
      <w:pPr>
        <w:spacing w:after="0" w:line="20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Agreement also includes customary representations and warranties and covenants relating to, among other things, forecasts, ordering, delivery and payments, handling and transport, intellectual property, responsibility for non-conforming product, confidentiality and indemnification.</w:t>
      </w:r>
    </w:p>
    <w:p>
      <w:pPr>
        <w:spacing w:after="0" w:line="18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terms of the Agreement is not complete and is qualified in its entirety by reference to the full text of the Agreement, a copy of which the Company will file as an exhibit to the Company’s annual report on Form 20-F for the fiscal year ending December 31, 2024.</w:t>
      </w:r>
    </w:p>
    <w:p>
      <w:pPr>
        <w:spacing w:after="0" w:line="18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This Form 6-K shall be deemed to be incorporated by reference in the registration statements of the Company on Form F-3 (Nos. 333-278050, 333-257625, and 333-272222) and Form S-8 (No. 333-239478), to the extent not superseded by documents or reports subsequently filed.</w:t>
      </w:r>
    </w:p>
    <w:p>
      <w:pPr>
        <w:sectPr>
          <w:pgSz w:w="11900" w:h="16838" w:orient="portrait"/>
          <w:cols w:equalWidth="0" w:num="1">
            <w:col w:w="11240"/>
          </w:cols>
          <w:pgMar w:left="320" w:top="752"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62" w:lineRule="exact"/>
        <w:rPr>
          <w:sz w:val="20"/>
          <w:szCs w:val="20"/>
          <w:color w:val="auto"/>
        </w:rPr>
      </w:pPr>
    </w:p>
    <w:p>
      <w:pPr>
        <w:ind w:right="520" w:firstLine="441"/>
        <w:spacing w:after="0" w:line="23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00" w:type="dxa"/>
            <w:vAlign w:val="bottom"/>
          </w:tcPr>
          <w:p>
            <w:pPr>
              <w:spacing w:after="0"/>
              <w:rPr>
                <w:sz w:val="20"/>
                <w:szCs w:val="20"/>
                <w:color w:val="auto"/>
              </w:rPr>
            </w:pPr>
          </w:p>
        </w:tc>
        <w:tc>
          <w:tcPr>
            <w:tcW w:w="7540" w:type="dxa"/>
            <w:vAlign w:val="bottom"/>
            <w:gridSpan w:val="2"/>
          </w:tcPr>
          <w:p>
            <w:pPr>
              <w:ind w:left="2080"/>
              <w:spacing w:after="0"/>
              <w:rPr>
                <w:sz w:val="20"/>
                <w:szCs w:val="20"/>
                <w:color w:val="auto"/>
              </w:rPr>
            </w:pPr>
            <w:r>
              <w:rPr>
                <w:rFonts w:ascii="Times New Roman" w:cs="Times New Roman" w:eastAsia="Times New Roman" w:hAnsi="Times New Roman"/>
                <w:sz w:val="18"/>
                <w:szCs w:val="18"/>
                <w:b w:val="1"/>
                <w:bCs w:val="1"/>
                <w:color w:val="auto"/>
              </w:rPr>
              <w:t>LEGEND BIOTECH CORPORATION</w:t>
            </w:r>
          </w:p>
        </w:tc>
        <w:tc>
          <w:tcPr>
            <w:tcW w:w="0" w:type="dxa"/>
            <w:vAlign w:val="bottom"/>
          </w:tcPr>
          <w:p>
            <w:pPr>
              <w:spacing w:after="0"/>
              <w:rPr>
                <w:sz w:val="1"/>
                <w:szCs w:val="1"/>
                <w:color w:val="auto"/>
              </w:rPr>
            </w:pPr>
          </w:p>
        </w:tc>
      </w:tr>
      <w:tr>
        <w:trPr>
          <w:trHeight w:val="459"/>
        </w:trPr>
        <w:tc>
          <w:tcPr>
            <w:tcW w:w="37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Date: March 29, 2024</w:t>
            </w:r>
          </w:p>
        </w:tc>
        <w:tc>
          <w:tcPr>
            <w:tcW w:w="288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By:</w:t>
            </w:r>
          </w:p>
        </w:tc>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Ying Huang</w:t>
            </w:r>
          </w:p>
        </w:tc>
        <w:tc>
          <w:tcPr>
            <w:tcW w:w="0" w:type="dxa"/>
            <w:vAlign w:val="bottom"/>
          </w:tcPr>
          <w:p>
            <w:pPr>
              <w:spacing w:after="0"/>
              <w:rPr>
                <w:sz w:val="1"/>
                <w:szCs w:val="1"/>
                <w:color w:val="auto"/>
              </w:rPr>
            </w:pPr>
          </w:p>
        </w:tc>
      </w:tr>
      <w:tr>
        <w:trPr>
          <w:trHeight w:val="81"/>
        </w:trPr>
        <w:tc>
          <w:tcPr>
            <w:tcW w:w="3700" w:type="dxa"/>
            <w:vAlign w:val="bottom"/>
            <w:vMerge w:val="continue"/>
          </w:tcPr>
          <w:p>
            <w:pPr>
              <w:spacing w:after="0"/>
              <w:rPr>
                <w:sz w:val="7"/>
                <w:szCs w:val="7"/>
                <w:color w:val="auto"/>
              </w:rPr>
            </w:pPr>
          </w:p>
        </w:tc>
        <w:tc>
          <w:tcPr>
            <w:tcW w:w="2880" w:type="dxa"/>
            <w:vAlign w:val="bottom"/>
          </w:tcPr>
          <w:p>
            <w:pPr>
              <w:spacing w:after="0"/>
              <w:rPr>
                <w:sz w:val="7"/>
                <w:szCs w:val="7"/>
                <w:color w:val="auto"/>
              </w:rPr>
            </w:pPr>
          </w:p>
        </w:tc>
        <w:tc>
          <w:tcPr>
            <w:tcW w:w="46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3700" w:type="dxa"/>
            <w:vAlign w:val="bottom"/>
          </w:tcPr>
          <w:p>
            <w:pPr>
              <w:spacing w:after="0"/>
              <w:rPr>
                <w:sz w:val="5"/>
                <w:szCs w:val="5"/>
                <w:color w:val="auto"/>
              </w:rPr>
            </w:pPr>
          </w:p>
        </w:tc>
        <w:tc>
          <w:tcPr>
            <w:tcW w:w="2880" w:type="dxa"/>
            <w:vAlign w:val="bottom"/>
            <w:vMerge w:val="restart"/>
          </w:tcPr>
          <w:p>
            <w:pPr>
              <w:ind w:left="2080"/>
              <w:spacing w:after="0"/>
              <w:rPr>
                <w:sz w:val="20"/>
                <w:szCs w:val="20"/>
                <w:color w:val="auto"/>
              </w:rPr>
            </w:pPr>
            <w:r>
              <w:rPr>
                <w:rFonts w:ascii="Times New Roman" w:cs="Times New Roman" w:eastAsia="Times New Roman" w:hAnsi="Times New Roman"/>
                <w:sz w:val="18"/>
                <w:szCs w:val="18"/>
                <w:color w:val="auto"/>
              </w:rPr>
              <w:t>Name:</w:t>
            </w:r>
          </w:p>
        </w:tc>
        <w:tc>
          <w:tcPr>
            <w:tcW w:w="46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8"/>
        </w:trPr>
        <w:tc>
          <w:tcPr>
            <w:tcW w:w="3700" w:type="dxa"/>
            <w:vAlign w:val="bottom"/>
          </w:tcPr>
          <w:p>
            <w:pPr>
              <w:spacing w:after="0"/>
              <w:rPr>
                <w:sz w:val="18"/>
                <w:szCs w:val="18"/>
                <w:color w:val="auto"/>
              </w:rPr>
            </w:pPr>
          </w:p>
        </w:tc>
        <w:tc>
          <w:tcPr>
            <w:tcW w:w="2880" w:type="dxa"/>
            <w:vAlign w:val="bottom"/>
            <w:vMerge w:val="continue"/>
          </w:tcPr>
          <w:p>
            <w:pPr>
              <w:spacing w:after="0"/>
              <w:rPr>
                <w:sz w:val="18"/>
                <w:szCs w:val="18"/>
                <w:color w:val="auto"/>
              </w:rPr>
            </w:pPr>
          </w:p>
        </w:tc>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Ying Huang, Ph.D.</w:t>
            </w:r>
          </w:p>
        </w:tc>
        <w:tc>
          <w:tcPr>
            <w:tcW w:w="0" w:type="dxa"/>
            <w:vAlign w:val="bottom"/>
          </w:tcPr>
          <w:p>
            <w:pPr>
              <w:spacing w:after="0"/>
              <w:rPr>
                <w:sz w:val="1"/>
                <w:szCs w:val="1"/>
                <w:color w:val="auto"/>
              </w:rPr>
            </w:pPr>
          </w:p>
        </w:tc>
      </w:tr>
      <w:tr>
        <w:trPr>
          <w:trHeight w:val="234"/>
        </w:trPr>
        <w:tc>
          <w:tcPr>
            <w:tcW w:w="3700" w:type="dxa"/>
            <w:vAlign w:val="bottom"/>
          </w:tcPr>
          <w:p>
            <w:pPr>
              <w:spacing w:after="0"/>
              <w:rPr>
                <w:sz w:val="20"/>
                <w:szCs w:val="20"/>
                <w:color w:val="auto"/>
              </w:rPr>
            </w:pPr>
          </w:p>
        </w:tc>
        <w:tc>
          <w:tcPr>
            <w:tcW w:w="288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Title:</w:t>
            </w:r>
          </w:p>
        </w:tc>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c>
          <w:tcPr>
            <w:tcW w:w="0" w:type="dxa"/>
            <w:vAlign w:val="bottom"/>
          </w:tcPr>
          <w:p>
            <w:pPr>
              <w:spacing w:after="0"/>
              <w:rPr>
                <w:sz w:val="1"/>
                <w:szCs w:val="1"/>
                <w:color w:val="auto"/>
              </w:rPr>
            </w:pPr>
          </w:p>
        </w:tc>
      </w:tr>
      <w:tr>
        <w:trPr>
          <w:trHeight w:val="621"/>
        </w:trPr>
        <w:tc>
          <w:tcPr>
            <w:tcW w:w="370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tcPr>
          <w:p>
            <w:pPr>
              <w:spacing w:after="0"/>
              <w:rPr>
                <w:sz w:val="24"/>
                <w:szCs w:val="24"/>
                <w:color w:val="auto"/>
              </w:rPr>
            </w:pPr>
          </w:p>
        </w:tc>
        <w:tc>
          <w:tcPr>
            <w:tcW w:w="46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99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2024-03-29T07:10:10Z</dcterms:created>
  <dcterms:modified xsi:type="dcterms:W3CDTF">2024-03-29T07:10:10Z</dcterms:modified>
</cp:coreProperties>
</file>