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333-278050</w:t>
      </w:r>
    </w:p>
    <w:p>
      <w:pPr>
        <w:spacing w:after="0" w:line="280" w:lineRule="exact"/>
        <w:rPr>
          <w:sz w:val="24"/>
          <w:szCs w:val="24"/>
          <w:color w:val="auto"/>
        </w:rPr>
      </w:pPr>
    </w:p>
    <w:tbl>
      <w:tblPr>
        <w:tblLayout w:type="fixed"/>
        <w:tblInd w:w="120" w:type="dxa"/>
        <w:tblCellMar>
          <w:top w:w="0" w:type="dxa"/>
          <w:left w:w="0" w:type="dxa"/>
          <w:bottom w:w="0" w:type="dxa"/>
          <w:right w:w="0" w:type="dxa"/>
        </w:tblCellMar>
      </w:tblPr>
      <w:tr>
        <w:trPr>
          <w:trHeight w:val="184"/>
        </w:trPr>
        <w:tc>
          <w:tcPr>
            <w:tcW w:w="180" w:type="dxa"/>
            <w:vAlign w:val="bottom"/>
            <w:vMerge w:val="restart"/>
            <w:textDirection w:val="btLr"/>
          </w:tcPr>
          <w:p>
            <w:pPr>
              <w:ind w:left="146"/>
              <w:spacing w:after="0"/>
              <w:rPr>
                <w:sz w:val="20"/>
                <w:szCs w:val="20"/>
                <w:color w:val="auto"/>
              </w:rPr>
            </w:pPr>
            <w:r>
              <w:rPr>
                <w:rFonts w:ascii="Times New Roman" w:cs="Times New Roman" w:eastAsia="Times New Roman" w:hAnsi="Times New Roman"/>
                <w:sz w:val="3"/>
                <w:szCs w:val="3"/>
                <w:b w:val="1"/>
                <w:bCs w:val="1"/>
                <w:color w:val="FF4338"/>
                <w:w w:val="83"/>
              </w:rPr>
              <w:t>completeandmaybechanged.Thispreliminary</w:t>
            </w:r>
          </w:p>
        </w:tc>
        <w:tc>
          <w:tcPr>
            <w:tcW w:w="680" w:type="dxa"/>
            <w:vAlign w:val="bottom"/>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w w:val="92"/>
              </w:rPr>
              <w:t>in</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FF4338"/>
              </w:rPr>
              <w:t>Subject to Completion, dated June 17, 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80" w:type="dxa"/>
            <w:vAlign w:val="bottom"/>
            <w:vMerge w:val="continue"/>
          </w:tcPr>
          <w:p>
            <w:pPr>
              <w:spacing w:after="0"/>
              <w:rPr>
                <w:sz w:val="24"/>
                <w:szCs w:val="24"/>
                <w:color w:val="auto"/>
              </w:rPr>
            </w:pPr>
          </w:p>
        </w:tc>
        <w:tc>
          <w:tcPr>
            <w:tcW w:w="680" w:type="dxa"/>
            <w:vAlign w:val="bottom"/>
            <w:textDirection w:val="btLr"/>
          </w:tcPr>
          <w:p>
            <w:pPr>
              <w:ind w:left="225"/>
              <w:spacing w:after="0"/>
              <w:rPr>
                <w:sz w:val="20"/>
                <w:szCs w:val="20"/>
                <w:color w:val="auto"/>
              </w:rPr>
            </w:pPr>
            <w:r>
              <w:rPr>
                <w:rFonts w:ascii="Times New Roman" w:cs="Times New Roman" w:eastAsia="Times New Roman" w:hAnsi="Times New Roman"/>
                <w:sz w:val="2"/>
                <w:szCs w:val="2"/>
                <w:b w:val="1"/>
                <w:bCs w:val="1"/>
                <w:color w:val="FF4338"/>
                <w:w w:val="87"/>
              </w:rPr>
              <w:t>arenotsolicitinganoffertobuythesesecurities</w:t>
            </w:r>
          </w:p>
        </w:tc>
        <w:tc>
          <w:tcPr>
            <w:tcW w:w="4800" w:type="dxa"/>
            <w:vAlign w:val="bottom"/>
            <w:gridSpan w:val="8"/>
            <w:vMerge w:val="restart"/>
          </w:tcPr>
          <w:p>
            <w:pPr>
              <w:spacing w:after="0"/>
              <w:rPr>
                <w:sz w:val="20"/>
                <w:szCs w:val="20"/>
                <w:color w:val="auto"/>
              </w:rPr>
            </w:pPr>
            <w:r>
              <w:rPr>
                <w:rFonts w:ascii="Times New Roman" w:cs="Times New Roman" w:eastAsia="Times New Roman" w:hAnsi="Times New Roman"/>
                <w:sz w:val="16"/>
                <w:szCs w:val="16"/>
                <w:i w:val="1"/>
                <w:iCs w:val="1"/>
                <w:color w:val="auto"/>
              </w:rPr>
              <w:t>PRELIMINARY PROSPECTUS SUPPLEMENT</w:t>
            </w: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0" w:type="dxa"/>
            <w:vAlign w:val="bottom"/>
            <w:gridSpan w:val="8"/>
            <w:vMerge w:val="continue"/>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i w:val="1"/>
                <w:iCs w:val="1"/>
                <w:color w:val="auto"/>
              </w:rPr>
              <w:t>(To Prospectus Dated March 19, 2024)</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5"/>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0" w:type="dxa"/>
            <w:vAlign w:val="bottom"/>
            <w:gridSpan w:val="7"/>
          </w:tcPr>
          <w:p>
            <w:pPr>
              <w:jc w:val="center"/>
              <w:spacing w:after="0"/>
              <w:rPr>
                <w:sz w:val="20"/>
                <w:szCs w:val="20"/>
                <w:color w:val="auto"/>
              </w:rPr>
            </w:pPr>
            <w:r>
              <w:rPr>
                <w:rFonts w:ascii="Times New Roman" w:cs="Times New Roman" w:eastAsia="Times New Roman" w:hAnsi="Times New Roman"/>
                <w:sz w:val="40"/>
                <w:szCs w:val="40"/>
                <w:b w:val="1"/>
                <w:bCs w:val="1"/>
                <w:color w:val="auto"/>
                <w:w w:val="99"/>
              </w:rPr>
              <w:t>$225,000,000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00" w:type="dxa"/>
            <w:vAlign w:val="bottom"/>
            <w:gridSpan w:val="13"/>
          </w:tcPr>
          <w:p>
            <w:pPr>
              <w:jc w:val="center"/>
              <w:ind w:left="649"/>
              <w:spacing w:after="0"/>
              <w:rPr>
                <w:sz w:val="20"/>
                <w:szCs w:val="20"/>
                <w:color w:val="auto"/>
              </w:rPr>
            </w:pPr>
            <w:r>
              <w:rPr>
                <w:rFonts w:ascii="Times New Roman" w:cs="Times New Roman" w:eastAsia="Times New Roman" w:hAnsi="Times New Roman"/>
                <w:sz w:val="40"/>
                <w:szCs w:val="40"/>
                <w:b w:val="1"/>
                <w:bCs w:val="1"/>
                <w:color w:val="auto"/>
                <w:w w:val="98"/>
              </w:rPr>
              <w:t>American Depositary Shares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5"/>
        </w:trPr>
        <w:tc>
          <w:tcPr>
            <w:tcW w:w="180" w:type="dxa"/>
            <w:vAlign w:val="bottom"/>
            <w:vMerge w:val="restart"/>
            <w:textDirection w:val="btLr"/>
          </w:tcPr>
          <w:p>
            <w:pPr>
              <w:spacing w:after="0"/>
              <w:rPr>
                <w:sz w:val="20"/>
                <w:szCs w:val="20"/>
                <w:color w:val="auto"/>
              </w:rPr>
            </w:pPr>
            <w:r>
              <w:rPr>
                <w:rFonts w:ascii="Times New Roman" w:cs="Times New Roman" w:eastAsia="Times New Roman" w:hAnsi="Times New Roman"/>
                <w:sz w:val="18"/>
                <w:szCs w:val="18"/>
                <w:b w:val="1"/>
                <w:bCs w:val="1"/>
                <w:color w:val="FF4338"/>
              </w:rPr>
              <w:t>not</w:t>
            </w:r>
          </w:p>
        </w:tc>
        <w:tc>
          <w:tcPr>
            <w:tcW w:w="680" w:type="dxa"/>
            <w:vAlign w:val="bottom"/>
            <w:vMerge w:val="restart"/>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w w:val="96"/>
              </w:rPr>
              <w:t>and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6"/>
          </w:tcPr>
          <w:p>
            <w:pPr>
              <w:ind w:left="1580"/>
              <w:spacing w:after="0"/>
              <w:rPr>
                <w:sz w:val="20"/>
                <w:szCs w:val="20"/>
                <w:color w:val="auto"/>
              </w:rPr>
            </w:pPr>
            <w:r>
              <w:rPr>
                <w:rFonts w:ascii="Times New Roman" w:cs="Times New Roman" w:eastAsia="Times New Roman" w:hAnsi="Times New Roman"/>
                <w:sz w:val="23"/>
                <w:szCs w:val="23"/>
                <w:b w:val="1"/>
                <w:bCs w:val="1"/>
                <w:color w:val="auto"/>
              </w:rPr>
              <w:t xml:space="preserve">Representing          </w:t>
            </w:r>
          </w:p>
        </w:tc>
        <w:tc>
          <w:tcPr>
            <w:tcW w:w="1920" w:type="dxa"/>
            <w:vAlign w:val="bottom"/>
            <w:gridSpan w:val="4"/>
          </w:tcPr>
          <w:p>
            <w:pPr>
              <w:ind w:left="220"/>
              <w:spacing w:after="0"/>
              <w:rPr>
                <w:sz w:val="20"/>
                <w:szCs w:val="20"/>
                <w:color w:val="auto"/>
              </w:rPr>
            </w:pPr>
            <w:r>
              <w:rPr>
                <w:rFonts w:ascii="Times New Roman" w:cs="Times New Roman" w:eastAsia="Times New Roman" w:hAnsi="Times New Roman"/>
                <w:sz w:val="23"/>
                <w:szCs w:val="23"/>
                <w:b w:val="1"/>
                <w:bCs w:val="1"/>
                <w:color w:val="auto"/>
              </w:rPr>
              <w:t>ordinary shares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80" w:type="dxa"/>
            <w:vAlign w:val="bottom"/>
            <w:vMerge w:val="restart"/>
            <w:textDirection w:val="btLr"/>
          </w:tcPr>
          <w:p>
            <w:pPr>
              <w:ind w:left="169"/>
              <w:spacing w:after="0"/>
              <w:rPr>
                <w:sz w:val="20"/>
                <w:szCs w:val="20"/>
                <w:color w:val="auto"/>
              </w:rPr>
            </w:pPr>
            <w:r>
              <w:rPr>
                <w:rFonts w:ascii="Times New Roman" w:cs="Times New Roman" w:eastAsia="Times New Roman" w:hAnsi="Times New Roman"/>
                <w:sz w:val="1"/>
                <w:szCs w:val="1"/>
                <w:b w:val="1"/>
                <w:bCs w:val="1"/>
                <w:color w:val="FF4338"/>
                <w:w w:val="67"/>
              </w:rPr>
              <w:t>Theinformationinthispreliminaryprospectussupplementandtheaccompanyingprospectusis</w:t>
            </w:r>
          </w:p>
        </w:tc>
        <w:tc>
          <w:tcPr>
            <w:tcW w:w="680" w:type="dxa"/>
            <w:vAlign w:val="bottom"/>
            <w:vMerge w:val="restart"/>
            <w:textDirection w:val="btLr"/>
          </w:tcPr>
          <w:p>
            <w:pPr>
              <w:ind w:left="453"/>
              <w:spacing w:after="0"/>
              <w:rPr>
                <w:sz w:val="20"/>
                <w:szCs w:val="20"/>
                <w:color w:val="auto"/>
              </w:rPr>
            </w:pPr>
            <w:r>
              <w:rPr>
                <w:rFonts w:ascii="Times New Roman" w:cs="Times New Roman" w:eastAsia="Times New Roman" w:hAnsi="Times New Roman"/>
                <w:sz w:val="1"/>
                <w:szCs w:val="1"/>
                <w:b w:val="1"/>
                <w:bCs w:val="1"/>
                <w:color w:val="FF4338"/>
                <w:w w:val="43"/>
              </w:rPr>
              <w:t>prospectussupplementandtheaccompanyingprospectusarenotanoffertosellthesesecuritiesanyjurisdictionwheretheofferorsaleisnotpermitted.</w:t>
            </w:r>
          </w:p>
        </w:tc>
        <w:tc>
          <w:tcPr>
            <w:tcW w:w="2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 xml:space="preserve">Legend Biotech Corporation is offering    </w:t>
            </w: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820" w:type="dxa"/>
            <w:vAlign w:val="bottom"/>
            <w:gridSpan w:val="3"/>
            <w:vMerge w:val="continue"/>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720" w:type="dxa"/>
            <w:vAlign w:val="bottom"/>
            <w:gridSpan w:val="4"/>
          </w:tcPr>
          <w:p>
            <w:pPr>
              <w:jc w:val="center"/>
              <w:ind w:right="840"/>
              <w:spacing w:after="0" w:line="106" w:lineRule="exact"/>
              <w:rPr>
                <w:sz w:val="20"/>
                <w:szCs w:val="20"/>
                <w:color w:val="auto"/>
              </w:rPr>
            </w:pPr>
            <w:r>
              <w:rPr>
                <w:rFonts w:ascii="Times New Roman" w:cs="Times New Roman" w:eastAsia="Times New Roman" w:hAnsi="Times New Roman"/>
                <w:sz w:val="12"/>
                <w:szCs w:val="12"/>
                <w:b w:val="1"/>
                <w:bCs w:val="1"/>
                <w:i w:val="1"/>
                <w:iCs w:val="1"/>
                <w:color w:val="auto"/>
              </w:rPr>
              <w:t>Joint Bookrunners</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20" w:type="dxa"/>
            <w:vAlign w:val="bottom"/>
            <w:gridSpan w:val="3"/>
            <w:vMerge w:val="continue"/>
          </w:tcPr>
          <w:p>
            <w:pPr>
              <w:spacing w:after="0"/>
              <w:rPr>
                <w:sz w:val="16"/>
                <w:szCs w:val="16"/>
                <w:color w:val="auto"/>
              </w:rPr>
            </w:pPr>
          </w:p>
        </w:tc>
        <w:tc>
          <w:tcPr>
            <w:tcW w:w="6460" w:type="dxa"/>
            <w:vAlign w:val="bottom"/>
            <w:gridSpan w:val="17"/>
          </w:tcPr>
          <w:p>
            <w:pPr>
              <w:ind w:left="60"/>
              <w:spacing w:after="0"/>
              <w:rPr>
                <w:sz w:val="20"/>
                <w:szCs w:val="20"/>
                <w:color w:val="auto"/>
              </w:rPr>
            </w:pPr>
            <w:r>
              <w:rPr>
                <w:rFonts w:ascii="Times New Roman" w:cs="Times New Roman" w:eastAsia="Times New Roman" w:hAnsi="Times New Roman"/>
                <w:sz w:val="16"/>
                <w:szCs w:val="16"/>
                <w:color w:val="auto"/>
              </w:rPr>
              <w:t>      American Depositary Shares (“ADSs”) pursuant to this prospectus supplement and the</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accompanying prospectus. Each ADS represents two ordinary shares, $0.0001 par value per share.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Our ADSs are listed on The Nasdaq Global Select Market (“Nasdaq”) under the symbol “LEGN.” On June 16, 2026, the last reported sale</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price of our ADSs on Nasdaq was $33.38 per ADS.</w:t>
            </w: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We are a “foreign private issuer” under applicable U.S. federal securities laws and are eligible for reduced public company reporting</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requirements. See “Prospectus Supplement Summary—Implications of Being a Foreign Private Issuer” for additional information.</w:t>
            </w:r>
          </w:p>
        </w:tc>
        <w:tc>
          <w:tcPr>
            <w:tcW w:w="0" w:type="dxa"/>
            <w:vAlign w:val="bottom"/>
          </w:tcPr>
          <w:p>
            <w:pPr>
              <w:spacing w:after="0"/>
              <w:rPr>
                <w:sz w:val="1"/>
                <w:szCs w:val="1"/>
                <w:color w:val="auto"/>
              </w:rPr>
            </w:pPr>
          </w:p>
        </w:tc>
      </w:tr>
      <w:tr>
        <w:trPr>
          <w:trHeight w:val="290"/>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Investing in the ADSs involves risks. See “</w:t>
            </w:r>
            <w:r>
              <w:rPr>
                <w:rFonts w:ascii="Times New Roman" w:cs="Times New Roman" w:eastAsia="Times New Roman" w:hAnsi="Times New Roman"/>
                <w:sz w:val="18"/>
                <w:szCs w:val="18"/>
                <w:b w:val="1"/>
                <w:bCs w:val="1"/>
                <w:color w:val="0000EE"/>
              </w:rPr>
              <w:t>Risk Factors</w:t>
            </w:r>
            <w:r>
              <w:rPr>
                <w:rFonts w:ascii="Times New Roman" w:cs="Times New Roman" w:eastAsia="Times New Roman" w:hAnsi="Times New Roman"/>
                <w:sz w:val="18"/>
                <w:szCs w:val="18"/>
                <w:b w:val="1"/>
                <w:bCs w:val="1"/>
                <w:color w:val="auto"/>
              </w:rPr>
              <w:t>” beginning on page S-9 of this prospectus supplement and in our</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50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Annual Report on Form 20-F for the fiscal year ended December 31, 2025, as well as any amendment or update to our</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risk factors reflected in subsequent filings with the Securities and Exchange Commission.</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gridSpan w:val="2"/>
          </w:tcPr>
          <w:p>
            <w:pPr>
              <w:spacing w:after="0"/>
              <w:rPr>
                <w:sz w:val="19"/>
                <w:szCs w:val="19"/>
                <w:color w:val="auto"/>
              </w:rPr>
            </w:pPr>
          </w:p>
        </w:tc>
        <w:tc>
          <w:tcPr>
            <w:tcW w:w="480" w:type="dxa"/>
            <w:vAlign w:val="bottom"/>
            <w:gridSpan w:val="2"/>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spacing w:after="0"/>
              <w:rPr>
                <w:sz w:val="19"/>
                <w:szCs w:val="19"/>
                <w:color w:val="auto"/>
              </w:rPr>
            </w:pPr>
          </w:p>
        </w:tc>
        <w:tc>
          <w:tcPr>
            <w:tcW w:w="900" w:type="dxa"/>
            <w:vAlign w:val="bottom"/>
            <w:gridSpan w:val="2"/>
          </w:tcPr>
          <w:p>
            <w:pPr>
              <w:spacing w:after="0"/>
              <w:rPr>
                <w:sz w:val="19"/>
                <w:szCs w:val="19"/>
                <w:color w:val="auto"/>
              </w:rPr>
            </w:pPr>
          </w:p>
        </w:tc>
        <w:tc>
          <w:tcPr>
            <w:tcW w:w="600" w:type="dxa"/>
            <w:vAlign w:val="bottom"/>
            <w:gridSpan w:val="3"/>
          </w:tcPr>
          <w:p>
            <w:pPr>
              <w:spacing w:after="0"/>
              <w:rPr>
                <w:sz w:val="19"/>
                <w:szCs w:val="19"/>
                <w:color w:val="auto"/>
              </w:rPr>
            </w:pPr>
          </w:p>
        </w:tc>
        <w:tc>
          <w:tcPr>
            <w:tcW w:w="400" w:type="dxa"/>
            <w:vAlign w:val="bottom"/>
            <w:gridSpan w:val="2"/>
          </w:tcPr>
          <w:p>
            <w:pPr>
              <w:spacing w:after="0"/>
              <w:rPr>
                <w:sz w:val="19"/>
                <w:szCs w:val="19"/>
                <w:color w:val="auto"/>
              </w:rPr>
            </w:pPr>
          </w:p>
        </w:tc>
        <w:tc>
          <w:tcPr>
            <w:tcW w:w="640" w:type="dxa"/>
            <w:vAlign w:val="bottom"/>
            <w:gridSpan w:val="3"/>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other state securities commission has approved or disapproved of these</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auto"/>
              </w:rPr>
              <w:t>securities or passed upon the accuracy or adequacy of this prospectus supplement or the accompanying prospectus. Any</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representation to the contrary is a criminal offense.</w:t>
            </w: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Per ADS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0" w:type="dxa"/>
            <w:vAlign w:val="bottom"/>
          </w:tcPr>
          <w:p>
            <w:pPr>
              <w:spacing w:after="0"/>
              <w:rPr>
                <w:sz w:val="1"/>
                <w:szCs w:val="1"/>
                <w:color w:val="auto"/>
              </w:rPr>
            </w:pPr>
          </w:p>
        </w:tc>
      </w:tr>
      <w:tr>
        <w:trPr>
          <w:trHeight w:val="291"/>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Initial price to public</w:t>
            </w:r>
          </w:p>
        </w:tc>
        <w:tc>
          <w:tcPr>
            <w:tcW w:w="4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 xml:space="preserve">$ </w:t>
            </w:r>
          </w:p>
        </w:tc>
        <w:tc>
          <w:tcPr>
            <w:tcW w:w="1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w w:val="71"/>
              </w:rPr>
              <w:t> </w:t>
            </w:r>
          </w:p>
        </w:tc>
        <w:tc>
          <w:tcPr>
            <w:tcW w:w="2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 </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 xml:space="preserve">$ </w:t>
            </w:r>
          </w:p>
        </w:tc>
        <w:tc>
          <w:tcPr>
            <w:tcW w:w="2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300" w:type="dxa"/>
            <w:vAlign w:val="bottom"/>
            <w:tcBorders>
              <w:top w:val="single" w:sz="8" w:color="auto"/>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i w:val="1"/>
                <w:iCs w:val="1"/>
                <w:color w:val="auto"/>
              </w:rPr>
              <w:t>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line="202" w:lineRule="exact"/>
              <w:rPr>
                <w:sz w:val="20"/>
                <w:szCs w:val="20"/>
                <w:color w:val="auto"/>
              </w:rPr>
            </w:pPr>
            <w:r>
              <w:rPr>
                <w:rFonts w:ascii="Times New Roman" w:cs="Times New Roman" w:eastAsia="Times New Roman" w:hAnsi="Times New Roman"/>
                <w:sz w:val="16"/>
                <w:szCs w:val="16"/>
                <w:i w:val="1"/>
                <w:iCs w:val="1"/>
                <w:color w:val="auto"/>
              </w:rPr>
              <w:t>Underwriting discount</w:t>
            </w:r>
            <w:r>
              <w:rPr>
                <w:rFonts w:ascii="Times New Roman" w:cs="Times New Roman" w:eastAsia="Times New Roman" w:hAnsi="Times New Roman"/>
                <w:sz w:val="23"/>
                <w:szCs w:val="23"/>
                <w:i w:val="1"/>
                <w:iCs w:val="1"/>
                <w:color w:val="auto"/>
                <w:vertAlign w:val="superscript"/>
              </w:rPr>
              <w:t>(1)</w:t>
            </w: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 xml:space="preserve">$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w w:val="71"/>
              </w:rPr>
              <w:t> </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 </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6"/>
                <w:szCs w:val="16"/>
                <w:i w:val="1"/>
                <w:iCs w:val="1"/>
                <w:color w:val="auto"/>
              </w:rPr>
              <w:t xml:space="preserve">$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Proceeds, before expenses, to us</w:t>
            </w: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 xml:space="preserve">$ </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w w:val="71"/>
              </w:rPr>
              <w:t> </w:t>
            </w: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 </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 xml:space="preserve">$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3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i w:val="1"/>
                <w:iCs w:val="1"/>
                <w:color w:val="auto"/>
              </w:rPr>
              <w:t>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200" w:type="dxa"/>
            <w:vAlign w:val="bottom"/>
            <w:gridSpan w:val="3"/>
          </w:tcPr>
          <w:p>
            <w:pPr>
              <w:spacing w:after="0"/>
              <w:rPr>
                <w:sz w:val="12"/>
                <w:szCs w:val="12"/>
                <w:color w:val="auto"/>
              </w:rPr>
            </w:pPr>
          </w:p>
        </w:tc>
        <w:tc>
          <w:tcPr>
            <w:tcW w:w="980" w:type="dxa"/>
            <w:vAlign w:val="bottom"/>
            <w:gridSpan w:val="3"/>
          </w:tcPr>
          <w:p>
            <w:pPr>
              <w:spacing w:after="0"/>
              <w:rPr>
                <w:sz w:val="12"/>
                <w:szCs w:val="12"/>
                <w:color w:val="auto"/>
              </w:rPr>
            </w:pPr>
          </w:p>
        </w:tc>
        <w:tc>
          <w:tcPr>
            <w:tcW w:w="222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9"/>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20" w:type="dxa"/>
            <w:vAlign w:val="bottom"/>
            <w:gridSpan w:val="10"/>
          </w:tcPr>
          <w:p>
            <w:pPr>
              <w:spacing w:after="0"/>
              <w:rPr>
                <w:sz w:val="20"/>
                <w:szCs w:val="20"/>
                <w:color w:val="auto"/>
              </w:rPr>
            </w:pPr>
            <w:r>
              <w:rPr>
                <w:rFonts w:ascii="Times New Roman" w:cs="Times New Roman" w:eastAsia="Times New Roman" w:hAnsi="Times New Roman"/>
                <w:sz w:val="24"/>
                <w:szCs w:val="24"/>
                <w:i w:val="1"/>
                <w:iCs w:val="1"/>
                <w:color w:val="auto"/>
                <w:vertAlign w:val="superscript"/>
              </w:rPr>
              <w:t>(1)</w:t>
            </w:r>
            <w:r>
              <w:rPr>
                <w:rFonts w:ascii="Times New Roman" w:cs="Times New Roman" w:eastAsia="Times New Roman" w:hAnsi="Times New Roman"/>
                <w:sz w:val="16"/>
                <w:szCs w:val="16"/>
                <w:i w:val="1"/>
                <w:iCs w:val="1"/>
                <w:color w:val="auto"/>
              </w:rPr>
              <w:t xml:space="preserve">    See “Underwriters” for a description of the compensation payable to the underwriters.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6"/>
                <w:szCs w:val="16"/>
                <w:i w:val="1"/>
                <w:iCs w:val="1"/>
                <w:color w:val="auto"/>
              </w:rPr>
              <w:t>We have granted the underwriters the right to purchase up to an additional            ADSs from us at the public offering price, less</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underwriting discounts and commissions.</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20" w:type="dxa"/>
            <w:vAlign w:val="bottom"/>
            <w:gridSpan w:val="10"/>
          </w:tcPr>
          <w:p>
            <w:pPr>
              <w:spacing w:after="0"/>
              <w:rPr>
                <w:sz w:val="20"/>
                <w:szCs w:val="20"/>
                <w:color w:val="auto"/>
              </w:rPr>
            </w:pPr>
            <w:r>
              <w:rPr>
                <w:rFonts w:ascii="Times New Roman" w:cs="Times New Roman" w:eastAsia="Times New Roman" w:hAnsi="Times New Roman"/>
                <w:sz w:val="16"/>
                <w:szCs w:val="16"/>
                <w:i w:val="1"/>
                <w:iCs w:val="1"/>
                <w:color w:val="auto"/>
                <w:w w:val="99"/>
              </w:rPr>
              <w:t>The underwriters expect to deliver the ADSs against payment in New York, New York on or about </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 xml:space="preserve">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2400" w:type="dxa"/>
            <w:vAlign w:val="bottom"/>
            <w:gridSpan w:val="7"/>
          </w:tcPr>
          <w:p>
            <w:pPr>
              <w:ind w:left="100"/>
              <w:spacing w:after="0"/>
              <w:rPr>
                <w:sz w:val="20"/>
                <w:szCs w:val="20"/>
                <w:color w:val="auto"/>
              </w:rPr>
            </w:pPr>
            <w:r>
              <w:rPr>
                <w:rFonts w:ascii="Times New Roman" w:cs="Times New Roman" w:eastAsia="Times New Roman" w:hAnsi="Times New Roman"/>
                <w:sz w:val="16"/>
                <w:szCs w:val="16"/>
                <w:i w:val="1"/>
                <w:iCs w:val="1"/>
                <w:color w:val="auto"/>
              </w:rPr>
              <w:t>, 2026, which is the second</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6"/>
                <w:szCs w:val="16"/>
                <w:i w:val="1"/>
                <w:iCs w:val="1"/>
                <w:color w:val="auto"/>
              </w:rPr>
              <w:t>business day following the first trading date of the ADSs (this settlement cycle being referred to as “T+2”). Under Rule 15c6-1 of the</w:t>
            </w: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6"/>
                <w:szCs w:val="16"/>
                <w:i w:val="1"/>
                <w:iCs w:val="1"/>
                <w:color w:val="auto"/>
              </w:rPr>
              <w:t>Exchange Act, trades in the secondary market generally are required to settle in one business day, unless the parties to any such trade</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6"/>
                <w:szCs w:val="16"/>
                <w:i w:val="1"/>
                <w:iCs w:val="1"/>
                <w:color w:val="auto"/>
              </w:rPr>
              <w:t>expressly agree otherwise. Accordingly, purchasers who wish to trade the ADSs on any day prior to the business day before delivery will be</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6"/>
                <w:szCs w:val="16"/>
                <w:i w:val="1"/>
                <w:iCs w:val="1"/>
                <w:color w:val="auto"/>
              </w:rPr>
              <w:t>required, by virtue of the fact that the ADSs initially will settle in T+2, to specify an alternate settlement cycle at the time of any such trade to</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20" w:type="dxa"/>
            <w:vAlign w:val="bottom"/>
            <w:gridSpan w:val="15"/>
          </w:tcPr>
          <w:p>
            <w:pPr>
              <w:spacing w:after="0"/>
              <w:rPr>
                <w:sz w:val="20"/>
                <w:szCs w:val="20"/>
                <w:color w:val="auto"/>
              </w:rPr>
            </w:pPr>
            <w:r>
              <w:rPr>
                <w:rFonts w:ascii="Times New Roman" w:cs="Times New Roman" w:eastAsia="Times New Roman" w:hAnsi="Times New Roman"/>
                <w:sz w:val="16"/>
                <w:szCs w:val="16"/>
                <w:i w:val="1"/>
                <w:iCs w:val="1"/>
                <w:color w:val="auto"/>
              </w:rPr>
              <w:t>prevent a failed settlement. Purchasers of ADSs who wish to make such trades should consult their own advisors.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20" w:type="dxa"/>
            <w:vAlign w:val="bottom"/>
            <w:gridSpan w:val="3"/>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Borders>
              <w:bottom w:val="single" w:sz="8" w:color="auto"/>
            </w:tcBorders>
            <w:gridSpan w:val="2"/>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853"/>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25"/>
                <w:szCs w:val="25"/>
                <w:b w:val="1"/>
                <w:bCs w:val="1"/>
                <w:color w:val="auto"/>
              </w:rPr>
              <w:t>Morgan Stanley</w:t>
            </w:r>
          </w:p>
        </w:tc>
        <w:tc>
          <w:tcPr>
            <w:tcW w:w="1980" w:type="dxa"/>
            <w:vAlign w:val="bottom"/>
            <w:gridSpan w:val="5"/>
          </w:tcPr>
          <w:p>
            <w:pPr>
              <w:ind w:left="180"/>
              <w:spacing w:after="0"/>
              <w:rPr>
                <w:sz w:val="20"/>
                <w:szCs w:val="20"/>
                <w:color w:val="auto"/>
              </w:rPr>
            </w:pPr>
            <w:r>
              <w:rPr>
                <w:rFonts w:ascii="Times New Roman" w:cs="Times New Roman" w:eastAsia="Times New Roman" w:hAnsi="Times New Roman"/>
                <w:sz w:val="25"/>
                <w:szCs w:val="25"/>
                <w:b w:val="1"/>
                <w:bCs w:val="1"/>
                <w:color w:val="auto"/>
              </w:rPr>
              <w:t>Jefferies</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25"/>
                <w:szCs w:val="25"/>
                <w:b w:val="1"/>
                <w:bCs w:val="1"/>
                <w:color w:val="auto"/>
              </w:rPr>
              <w:t>Citigroup</w:t>
            </w:r>
          </w:p>
        </w:tc>
        <w:tc>
          <w:tcPr>
            <w:tcW w:w="100" w:type="dxa"/>
            <w:vAlign w:val="bottom"/>
          </w:tcPr>
          <w:p>
            <w:pPr>
              <w:spacing w:after="0"/>
              <w:rPr>
                <w:sz w:val="24"/>
                <w:szCs w:val="24"/>
                <w:color w:val="auto"/>
              </w:rPr>
            </w:pPr>
          </w:p>
        </w:tc>
        <w:tc>
          <w:tcPr>
            <w:tcW w:w="2760" w:type="dxa"/>
            <w:vAlign w:val="bottom"/>
            <w:gridSpan w:val="9"/>
          </w:tcPr>
          <w:p>
            <w:pPr>
              <w:ind w:left="40"/>
              <w:spacing w:after="0"/>
              <w:rPr>
                <w:sz w:val="20"/>
                <w:szCs w:val="20"/>
                <w:color w:val="auto"/>
              </w:rPr>
            </w:pPr>
            <w:r>
              <w:rPr>
                <w:rFonts w:ascii="Times New Roman" w:cs="Times New Roman" w:eastAsia="Times New Roman" w:hAnsi="Times New Roman"/>
                <w:sz w:val="25"/>
                <w:szCs w:val="25"/>
                <w:b w:val="1"/>
                <w:bCs w:val="1"/>
                <w:color w:val="auto"/>
                <w:w w:val="99"/>
              </w:rPr>
              <w:t>Deutsche Bank Securities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-6528435</wp:posOffset>
            </wp:positionV>
            <wp:extent cx="2794635" cy="1200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120015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p>
      <w:pPr>
        <w:spacing w:after="0" w:line="8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         , 2026</w:t>
      </w:r>
    </w:p>
    <w:p>
      <w:pPr>
        <w:sectPr>
          <w:pgSz w:w="11900" w:h="16838" w:orient="portrait"/>
          <w:cols w:equalWidth="0" w:num="1">
            <w:col w:w="11140"/>
          </w:cols>
          <w:pgMar w:left="32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4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9"/>
            <w:vMerge w:val="restart"/>
          </w:tcPr>
          <w:p>
            <w:pPr>
              <w:spacing w:after="0"/>
              <w:rPr>
                <w:sz w:val="15"/>
                <w:szCs w:val="15"/>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0"/>
        </w:trPr>
        <w:tc>
          <w:tcPr>
            <w:tcW w:w="3440" w:type="dxa"/>
            <w:vAlign w:val="bottom"/>
            <w:tcBorders>
              <w:bottom w:val="single" w:sz="8" w:color="0000EE"/>
            </w:tcBorders>
            <w:gridSpan w:val="15"/>
            <w:vMerge w:val="continue"/>
          </w:tcPr>
          <w:p>
            <w:pPr>
              <w:spacing w:after="0"/>
              <w:rPr>
                <w:sz w:val="13"/>
                <w:szCs w:val="13"/>
                <w:color w:val="auto"/>
              </w:rPr>
            </w:pPr>
          </w:p>
        </w:tc>
        <w:tc>
          <w:tcPr>
            <w:tcW w:w="7120" w:type="dxa"/>
            <w:vAlign w:val="bottom"/>
            <w:gridSpan w:val="9"/>
            <w:vMerge w:val="continue"/>
          </w:tcPr>
          <w:p>
            <w:pPr>
              <w:spacing w:after="0"/>
              <w:rPr>
                <w:sz w:val="13"/>
                <w:szCs w:val="13"/>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auto"/>
              </w:rPr>
              <w:t>S-iii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5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MARKET, INDUSTRY AND OTHER DATA</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S-iv</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S-v</w:t>
            </w:r>
          </w:p>
        </w:tc>
        <w:tc>
          <w:tcPr>
            <w:tcW w:w="0" w:type="dxa"/>
            <w:vAlign w:val="bottom"/>
          </w:tcPr>
          <w:p>
            <w:pPr>
              <w:spacing w:after="0"/>
              <w:rPr>
                <w:sz w:val="1"/>
                <w:szCs w:val="1"/>
                <w:color w:val="auto"/>
              </w:rPr>
            </w:pPr>
          </w:p>
        </w:tc>
      </w:tr>
      <w:tr>
        <w:trPr>
          <w:trHeight w:val="196"/>
        </w:trPr>
        <w:tc>
          <w:tcPr>
            <w:tcW w:w="532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5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33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240" w:type="dxa"/>
            <w:vAlign w:val="bottom"/>
            <w:gridSpan w:val="11"/>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980" w:type="dxa"/>
            <w:vAlign w:val="bottom"/>
            <w:gridSpan w:val="1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S-18</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9700" w:type="dxa"/>
            <w:vAlign w:val="bottom"/>
            <w:gridSpan w:val="2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UNDERWRITERS</w:t>
            </w:r>
          </w:p>
        </w:tc>
        <w:tc>
          <w:tcPr>
            <w:tcW w:w="9160" w:type="dxa"/>
            <w:vAlign w:val="bottom"/>
            <w:gridSpan w:val="1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S-21</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MATERIAL INCOME TAX CONSIDERATIONS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S-34</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2180" w:type="dxa"/>
            <w:vAlign w:val="bottom"/>
            <w:tcBorders>
              <w:top w:val="single" w:sz="8" w:color="0000EE"/>
            </w:tcBorders>
            <w:gridSpan w:val="10"/>
          </w:tcPr>
          <w:p>
            <w:pPr>
              <w:spacing w:after="0"/>
              <w:rPr>
                <w:sz w:val="17"/>
                <w:szCs w:val="17"/>
                <w:color w:val="auto"/>
              </w:rPr>
            </w:pPr>
          </w:p>
        </w:tc>
        <w:tc>
          <w:tcPr>
            <w:tcW w:w="6920" w:type="dxa"/>
            <w:vAlign w:val="bottom"/>
            <w:gridSpan w:val="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S-40</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S-41</w:t>
            </w:r>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OF DOCUMENTS BY REFERENCE</w:t>
            </w:r>
          </w:p>
        </w:tc>
        <w:tc>
          <w:tcPr>
            <w:tcW w:w="6300" w:type="dxa"/>
            <w:vAlign w:val="bottom"/>
            <w:gridSpan w:val="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S-42</w:t>
            </w:r>
          </w:p>
        </w:tc>
        <w:tc>
          <w:tcPr>
            <w:tcW w:w="0" w:type="dxa"/>
            <w:vAlign w:val="bottom"/>
          </w:tcPr>
          <w:p>
            <w:pPr>
              <w:spacing w:after="0"/>
              <w:rPr>
                <w:sz w:val="1"/>
                <w:szCs w:val="1"/>
                <w:color w:val="auto"/>
              </w:rPr>
            </w:pPr>
          </w:p>
        </w:tc>
      </w:tr>
      <w:tr>
        <w:trPr>
          <w:trHeight w:val="412"/>
        </w:trPr>
        <w:tc>
          <w:tcPr>
            <w:tcW w:w="105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0560" w:type="dxa"/>
            <w:vAlign w:val="bottom"/>
            <w:gridSpan w:val="24"/>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CAUTIONARY STATEMENT FORWARD-LOOKING STATEMENTS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522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5340" w:type="dxa"/>
            <w:vAlign w:val="bottom"/>
            <w:gridSpan w:val="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480" w:type="dxa"/>
            <w:vAlign w:val="bottom"/>
            <w:gridSpan w:val="1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SHARE CAPITAL AND ARTICLES OF ASSOCIATION</w:t>
            </w:r>
          </w:p>
        </w:tc>
        <w:tc>
          <w:tcPr>
            <w:tcW w:w="486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302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1300" w:type="dxa"/>
            <w:vAlign w:val="bottom"/>
            <w:tcBorders>
              <w:top w:val="single" w:sz="8" w:color="0000EE"/>
            </w:tcBorders>
            <w:gridSpan w:val="7"/>
          </w:tcPr>
          <w:p>
            <w:pPr>
              <w:spacing w:after="0"/>
              <w:rPr>
                <w:sz w:val="17"/>
                <w:szCs w:val="17"/>
                <w:color w:val="auto"/>
              </w:rPr>
            </w:pPr>
          </w:p>
        </w:tc>
        <w:tc>
          <w:tcPr>
            <w:tcW w:w="6240" w:type="dxa"/>
            <w:vAlign w:val="bottom"/>
            <w:gridSpan w:val="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080" w:type="dxa"/>
            <w:vAlign w:val="bottom"/>
            <w:gridSpan w:val="1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4"/>
              </w:rPr>
              <w:t>TAXATION</w:t>
            </w:r>
          </w:p>
        </w:tc>
        <w:tc>
          <w:tcPr>
            <w:tcW w:w="2500" w:type="dxa"/>
            <w:vAlign w:val="bottom"/>
            <w:tcBorders>
              <w:top w:val="single" w:sz="8" w:color="0000EE"/>
            </w:tcBorders>
            <w:gridSpan w:val="11"/>
          </w:tcPr>
          <w:p>
            <w:pPr>
              <w:spacing w:after="0"/>
              <w:rPr>
                <w:sz w:val="17"/>
                <w:szCs w:val="17"/>
                <w:color w:val="auto"/>
              </w:rPr>
            </w:pPr>
          </w:p>
        </w:tc>
        <w:tc>
          <w:tcPr>
            <w:tcW w:w="7160" w:type="dxa"/>
            <w:vAlign w:val="bottom"/>
            <w:gridSpan w:val="1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SELLING SHAREHOLDERS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8340" w:type="dxa"/>
            <w:vAlign w:val="bottom"/>
            <w:gridSpan w:val="1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8520" w:type="dxa"/>
            <w:vAlign w:val="bottom"/>
            <w:gridSpan w:val="1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500" w:type="dxa"/>
            <w:vAlign w:val="bottom"/>
            <w:gridSpan w:val="17"/>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 ABOUT US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426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OF DOCUMENTS BY REFERENCE</w:t>
            </w:r>
          </w:p>
        </w:tc>
        <w:tc>
          <w:tcPr>
            <w:tcW w:w="480" w:type="dxa"/>
            <w:vAlign w:val="bottom"/>
            <w:tcBorders>
              <w:top w:val="single" w:sz="8" w:color="0000EE"/>
            </w:tcBorders>
            <w:gridSpan w:val="2"/>
          </w:tcPr>
          <w:p>
            <w:pPr>
              <w:spacing w:after="0"/>
              <w:rPr>
                <w:sz w:val="17"/>
                <w:szCs w:val="17"/>
                <w:color w:val="auto"/>
              </w:rPr>
            </w:pPr>
          </w:p>
        </w:tc>
        <w:tc>
          <w:tcPr>
            <w:tcW w:w="582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Neither we nor any agent, underwriter or dealer has authorized any person to give any information or to make any representation other than those contained or incorporated by reference in this prospectus supplement, the accompanying prospectus or any related free writing prospectus prepared by or on behalf of us or to which we have referred you. This prospectus supplement, the accompanying prospectus or any related free writing prospectus do not constitute an offer to sell or the solicitation of an offer to buy any securities other than the registered securities to which they relate, or in any jurisdiction to any person to whom it is unlawful to make such offer or solicitation in such jurisdiction. If anyone provides you with different or inconsistent information, you should not rely on it. We and the underwriters take no responsibility for, and can provide no assurance as to the reliability of, any other information that others may give you.</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00"/>
          </w:cols>
          <w:pgMar w:left="320" w:top="455"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For investors outside the United States: We and the underwriters have not done anything that would permit the offering or possession or distribution of this prospectus supplement and the accompanying prospectus in any jurisdiction where action for that purpose is required, other than in the United States. Persons outside the United States who come into possession of this prospectus supplement and the accompanying prospectus must inform themselves about, and observe any restrictions relating to, the offering of the securities described herein and the distribution of this prospectus supplement and the accompanying prospectus outside the United States.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this offering of ADSs and also adds to and updates information contained in the accompanying prospectus and the documents incorporated by reference into this prospectus supplement and the accompanying prospectus. The second part is the accompanying prospectus dated March 19, 2024, included in our registration statement on Form F-3 (File No. 333-278050) that became effective automatically upon filing with the U.S. Securities and Exchange Commission (the “SEC”) along with the documents incorporated by reference, which provides more general information, some of which may not apply to this offering. To the extent information in this prospectus supplement is inconsistent with the accompanying prospectus or any of the documents incorporated by reference into this prospectus supplement and the accompanying prospectus, you should rely on this prospectus supplement.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 You should read and consider the information in both this prospectus supplement and the accompanying prospectus together with the additional information described under the headings “Where You Can Find More Information” and “Incorporation of Documents by Reference.”</w:t>
      </w:r>
    </w:p>
    <w:p>
      <w:pPr>
        <w:spacing w:after="0" w:line="192"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prospectus supplement to the terms “Legend,” “Legend Biotech,” “the company,” “we,” “us” and “our” refer to Legend Biotech Corporation and its subsidiaries.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or other SEC filings, and you may obtain copies of those documents as described below under the heading “Where You Can Find More Information.”</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You should assume that the information contained in this prospectus supplement, the accompanying prospectus and any related free writing prospectus is accurate only as of the date of this prospectus supplement, the accompanying prospectus and any such related free writing prospectus, regardless of the time of delivery of this prospectus supplement, the accompanying prospectus, any such related free writing prospectus or of any sale of our ordinary shares or ADSs. You should not assume that the information contained in this prospectus supplement, the accompanying prospectus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supplement, the accompanying prospectus or any related free writing prospectus is delivered, or ordinary shares or ADSs are sold, on a later date. Our business, financial condition, results of operations and prospects may have changed since those dates. You should read this prospectus supplement, the accompanying prospectus, the documents incorporated by reference in this prospectus supplement and the accompanying prospectus, and any free writing prospectus prepared by or on behalf of us or to which we have referred you, in their entirety before making an investment decision.</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including the information incorporated by reference into this prospectus supplement and the accompanying prospectus, and any free writing prospectus that we have authorized for use in connection with this offering, contains estimates, projections and other information concerning our industry, our business and the markets for our product candidates, including data regarding the estimated size of such markets and the incidence of certain medical conditions. We obtained this industry, market and similar data from our internal estimates and research and from academic and industry research, publications, surveys and studies conducted by third parties, including governmental agencies. In some cases, we do not expressly refer to the sources from which this data is derived.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this data. Further, while we believe that our internal research is reliable, such research has not been verified by any third party. You are cautioned not to give undue weight to any such information, projections and estimates.</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the accompanying prospectus, the documents incorporated by reference and any free writing prospectus prepared by or on behalf of us or to which we have referred you contain “forward-looking statements” within the meaning of Section 27A of the Securities Act of 1933, as amended (the “Securities Act”) and Section 21E of the Securities Exchange Act of 1934, as amended (the “Exchange Act”). These statements are based on our management’s current beliefs, expectations and assumptions about future events, conditions and results and on information currently available to us.</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“anticipate,” “believe,” “could,” “estimate,” “expects,” “intend,” “may,” “plan,” “potential,” “predict,” “project,” “should,” “will,” “would” or the negative or plural of those terms, and similar expressions intended to identify statements about the future, although not all forward-looking statements contain these words. These statements involve known and unknown risks, uncertainties and other factors that may cause our actual results, levels of activity, performance or achievements to be materially different from the information expressed or implied by these forward-looking statements.</w:t>
      </w:r>
    </w:p>
    <w:p>
      <w:pPr>
        <w:spacing w:after="0" w:line="183"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Any statements in this prospectus supplement, the accompanying prospectus, the documents incorporated by reference or any free writing prospectus prepared by or on behalf of us or to which we have referred you about our expectations, beliefs, plans, objectives, assumptions or future events or performance are not historical facts and are forward-looking statements. Forward-looking statements may include, without limitation, statements regarding:</w:t>
      </w:r>
    </w:p>
    <w:p>
      <w:pPr>
        <w:spacing w:after="0" w:line="85"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effectively manufacture, market and sell CARVYKTI;</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opportunity for and potential for commercial success of CARVYKTI;</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treatment with CARVYKTI and resulting regulatory investigations or label updates;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acceptable safety and efficacy of our product candidates, and other positive results;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clinical trials for product candidates we may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and likelihood of regulatory filings and approvals, including final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specified milestones under our collaboration with Janssen Biotech, Inc., a Johnson &amp; Johnson company (“Janssen”) for cilta-cel or under other collaboration and license agreements we have entered into with other third parties;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our current product candidates and programs into, and successfully complete,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commercialization, and marketing capabilities and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 including the geographic areas of focus and sales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personnel and our ability to attract, retain and motivate such personnel;</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including our estimates of the number of patients who suffer from the diseases we are targeting;</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approval and use of our product candidates as first, second or subsequent lines of therapy or in combination with other drugs;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that we will enroll in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of our product candidates, including additional indications we may pursue;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acquisitions and integration of complementary businesses and assets;</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including the scope of protection we are able to establish and maintain for intellectual property rights covering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85"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negotiate favorable terms of, any collaboration, licensing or other arrangements that may be necessary or desirable to develop, manufacture or commercialize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the product candidates we may develop, if approved;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prices and availability of labor, transportation and raw materials, including as a result of inflation, and our ability to obtain them in a timely manner;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and the potential impact of risks inherent in our foreign operations, including currency fluctuations, exchange controls and pricing restrictions;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 candidates we may develop;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key information technology systems, networks, processes or related controls or those of our service providers;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consistently maintain effective internal control over financial reporting;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the resolution of tax contingencies resulting in additional tax liabilities;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estimate our existing cash and cash equivalents will be sufficient to fund our future operating expenses and capital expenditure requirements;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United States or foreign laws and regulations on our operations, including the impact of tariffs;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epidemics and pandemics, rising inflation rates, geopolitical tensions, the failure and instability of financial institutions, or other world events’ disruptions on our business, including, without limitation, our ability to manage the demand, supply and operational challenges associated with the actual or perceived effects of such disruptions;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resources and the proceeds from this offering.</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These forward-looking statements reflect our current views with respect to future events, are based on assumptions and are subject to risks and uncertainties. Given these risks and uncertainties, you should not place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S-vi</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undue reliance on these forward-looking statements. We discuss many of these risks, uncertainties and other factors in greater detail under the heading “Risk Factors” in this prospectus supplement and in the section “Item3.D-Risk Factors” of our Annual Report on Form 20-F for the fiscal year ended December 31, 2025 (the “Annual Report”) which is incorporated by reference into this prospectus supplement and the accompanying prospectus. As a result of these factors, we cannot assure you that the forward-looking statements contained in this prospectus supplement, the accompanying prospectus, the documents incorporated by reference or any free writing prospectus prepared by or on behalf of us or to which we have referred you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188"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the documents incorporated by reference or any free writing prospectus prepared by or on behalf of us or to which we have referred you completely and with the understanding that our actual future results may be materially different from what we expect. We qualify all of our forward-looking statements by these cautionary statements.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S-vii</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about us, this offering and other information contained elsewhere in or incorporated by reference in this prospectus supplement and the accompanying prospectus, and does not contain all of the information that you need to consider in making your investment decision. For a more complete understanding of our company and this offering, you should read and consider carefully the more detailed information included or incorporated by reference in this prospectus supplement and the accompanying prospectus, including the factors described under the heading “Risk Factors” beginning on page S-9 of this prospectus supplement and in the section “Item3.D-Risk Factors” of our Annual Report, which is incorporated by reference into this prospectus supplement and the accompanying prospectus, as well as the information included in any free writing prospectus prepared by or on behalf of us or to which we have referred you.</w:t>
      </w:r>
    </w:p>
    <w:p>
      <w:pPr>
        <w:spacing w:after="0" w:line="3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We are a global biopharmaceutical company engaged in the discovery, development, manufacturing and commercialization of novel cell therapies for oncology and other indications. Our team of over 3,000 employees in the United States, China and Europe, our differentiated technology, global development and manufacturing strategy and expertise provide us with the ability to generate, test and manufacture next-generation cell therapies targeting indications with high unmet needs. Our lead product candidate, ciltacabtagene autoleucel (“cilta-cel” or “LCAR-B38M” for purposes of our LEGEND-2 trial) is a chimeric antigen receptor T cell (“CAR-T”) therapy we are jointly developing with our strategic partner, Janssen, for the treatment of multiple myeloma (“MM”). Clinical trial results achieved to date demonstrate that cilta-cel is the first CAR-T cell therapy to demonstrate overall survival benefit when compared to standard therapies in patients with relapsed and lenalidomide-refractory multiple myeloma (“RRMM”) with a manageable safety profile.</w:t>
      </w:r>
    </w:p>
    <w:p>
      <w:pPr>
        <w:spacing w:after="0" w:line="192" w:lineRule="exact"/>
        <w:rPr>
          <w:sz w:val="20"/>
          <w:szCs w:val="20"/>
          <w:color w:val="auto"/>
        </w:rPr>
      </w:pPr>
    </w:p>
    <w:p>
      <w:pPr>
        <w:ind w:left="300" w:firstLine="426"/>
        <w:spacing w:after="0" w:line="267" w:lineRule="auto"/>
        <w:rPr>
          <w:sz w:val="20"/>
          <w:szCs w:val="20"/>
          <w:color w:val="auto"/>
        </w:rPr>
      </w:pPr>
      <w:r>
        <w:rPr>
          <w:rFonts w:ascii="Times New Roman" w:cs="Times New Roman" w:eastAsia="Times New Roman" w:hAnsi="Times New Roman"/>
          <w:sz w:val="17"/>
          <w:szCs w:val="17"/>
          <w:color w:val="auto"/>
        </w:rPr>
        <w:t>On February 28, 2022, cilta-cel was approved by the United States Food &amp; Drug Administration (the “FDA”) under the trademark CARVYKTI for the treatment of adults with RRMM who have received four or more prior lines of therapy, including a proteasome inhibitor, an immunomodulatory agent, and an anti-CD38 monoclonal antibody. In April 2024, the FDA approved CARVYKTI for the treatment of patients with RRMM who have received at least one prior line of therapy, including proteasome inhibitor, and an immunomodulatory agent, and are refractory to lenalidomide. We have established a sales, marketing and operational infrastructure to support the commercialization of CARVYKTI in the United States. On May 25, 2022, the European Commission granted conditional marketing authorization of CARVYKTI for the treatment of adults with RRMM who have received at least three prior therapies, including a proteasome inhibitor (“PI”), an immunomodulatory agent (“IMiD”) and an anti-CD38 antibody, and have demonstrated disease progression on the last therapy. On September 26, 2022, Japan’s Ministry of Health, Labour and Welfare approved CARVYKTI for the treatment of adults with RRMM, limited to cases meeting both of the following conditions:</w:t>
      </w:r>
    </w:p>
    <w:p>
      <w:pPr>
        <w:spacing w:after="0" w:line="5" w:lineRule="exact"/>
        <w:rPr>
          <w:sz w:val="20"/>
          <w:szCs w:val="20"/>
          <w:color w:val="auto"/>
        </w:rPr>
      </w:pPr>
    </w:p>
    <w:p>
      <w:pPr>
        <w:ind w:left="300" w:right="20" w:hanging="2"/>
        <w:spacing w:after="0" w:line="253" w:lineRule="auto"/>
        <w:tabs>
          <w:tab w:leader="none" w:pos="5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who have no history of CAR-positive T cell infusion therapy targeting B-cell maturation antigen (“BCMA”); and (2) patients who have received three or more lines of therapies, including an immunomodulatory agent, a proteasome inhibitor and an anti-CD38 monoclonal antibody, and in whom MM has not responded to or has relapsed following the most recent therapy. In April 2024, the European Commission granted approval of CARVYKTI for the treatment of adult patients with RRMM who have received at least one prior line of therapy including a PI and an IMiD, have demonstrated disease progression on the last therapy and are refractory to lenalidomide.</w:t>
      </w:r>
    </w:p>
    <w:p>
      <w:pPr>
        <w:spacing w:after="0" w:line="187" w:lineRule="exact"/>
        <w:rPr>
          <w:sz w:val="20"/>
          <w:szCs w:val="20"/>
          <w:color w:val="auto"/>
        </w:rPr>
      </w:pPr>
    </w:p>
    <w:p>
      <w:pPr>
        <w:ind w:left="300" w:right="480" w:firstLine="426"/>
        <w:spacing w:after="0" w:line="261" w:lineRule="auto"/>
        <w:rPr>
          <w:sz w:val="20"/>
          <w:szCs w:val="20"/>
          <w:color w:val="auto"/>
        </w:rPr>
      </w:pPr>
      <w:r>
        <w:rPr>
          <w:rFonts w:ascii="Times New Roman" w:cs="Times New Roman" w:eastAsia="Times New Roman" w:hAnsi="Times New Roman"/>
          <w:sz w:val="18"/>
          <w:szCs w:val="18"/>
          <w:color w:val="auto"/>
        </w:rPr>
        <w:t xml:space="preserve">Furthermore, we are also developing an in-vivo CAR-T product candidate targeting CD19/CD20 for NHL (“LB2501”) which is being evaluated in an ongoing Phase 1, open-label study NCT07002112) in patients with relapsed/refractory B-cell malignancies to assess safety, tolerability, and preliminary efficacy. LB2501 is an investigational, potential first-in-class CD19/CD20 dual-targeting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CAR-T therapy designed to generate CAR-T cells directly within the patient following a single intravenous infusion.</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7932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67932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300" w:right="440" w:firstLine="426"/>
        <w:spacing w:after="0" w:line="312"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including those highlighted in the section titled “Risk Factors” immediately following this prospectus supplement summary and in the section “Item3.D-Risk Factors” of our Annual Report. Some of these risks are:</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CARVYKTI and Our Other Product Candidates</w:t>
      </w:r>
    </w:p>
    <w:p>
      <w:pPr>
        <w:spacing w:after="0" w:line="135" w:lineRule="exact"/>
        <w:rPr>
          <w:sz w:val="20"/>
          <w:szCs w:val="20"/>
          <w:color w:val="auto"/>
        </w:rPr>
      </w:pPr>
    </w:p>
    <w:p>
      <w:pPr>
        <w:ind w:left="1240" w:right="88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commercial success of CARVYKTI. If we are unable to successfully commercialize CARVYKTI, our business will be materially harmed.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marketing and sale of CARVYKTI or future products may be unsuccessful or have less success than anticipated.</w:t>
      </w:r>
    </w:p>
    <w:p>
      <w:pPr>
        <w:spacing w:after="0" w:line="130"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CARVYKTI, and of any future products, will depend upon the degree of market acceptance by physicians, third-party payors and others in the medical community.</w:t>
      </w:r>
    </w:p>
    <w:p>
      <w:pPr>
        <w:spacing w:after="0" w:line="67" w:lineRule="exact"/>
        <w:rPr>
          <w:rFonts w:ascii="Times New Roman" w:cs="Times New Roman" w:eastAsia="Times New Roman" w:hAnsi="Times New Roman"/>
          <w:sz w:val="18"/>
          <w:szCs w:val="18"/>
          <w:color w:val="auto"/>
        </w:rPr>
      </w:pPr>
    </w:p>
    <w:p>
      <w:pPr>
        <w:ind w:left="1240" w:right="42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our product or any future products are smaller than we believe they are, and if we are not able to successfully identify patients and achieve significant market share, our revenues may be adversely affected and our business may suffer.</w:t>
      </w:r>
    </w:p>
    <w:p>
      <w:pPr>
        <w:spacing w:after="0" w:line="81"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pricing and reimbursement risks related to ongoing and proposed U.S. government policies intended to lower prescription drug prices.</w:t>
      </w:r>
    </w:p>
    <w:p>
      <w:pPr>
        <w:spacing w:after="0" w:line="67" w:lineRule="exact"/>
        <w:rPr>
          <w:rFonts w:ascii="Times New Roman" w:cs="Times New Roman" w:eastAsia="Times New Roman" w:hAnsi="Times New Roman"/>
          <w:sz w:val="18"/>
          <w:szCs w:val="18"/>
          <w:color w:val="auto"/>
        </w:rPr>
      </w:pPr>
    </w:p>
    <w:p>
      <w:pPr>
        <w:ind w:left="1240" w:right="42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 and could materially and adversely affect our business, financial condition, results of operations and prospects.</w:t>
      </w:r>
    </w:p>
    <w:p>
      <w:pPr>
        <w:spacing w:after="0" w:line="81"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side effects or other safety risks associated with CARVYKTI or any future products could limit the commercial profile of an approved label or result in significant negative consequences following marketing approval.</w:t>
      </w:r>
    </w:p>
    <w:p>
      <w:pPr>
        <w:spacing w:after="0" w:line="67"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create our own manufacturing infrastructure for supply of our requirements of products for use in clinical trials and for commercial sale.</w:t>
      </w:r>
    </w:p>
    <w:p>
      <w:pPr>
        <w:spacing w:after="0" w:line="67"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invest significant financial and management resources to establish necessary capabilities and infrastructure to support our commercial needs. If we are unable to establish these commercial capabilities, we may be unable to generate sufficient revenue to sustain our business.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35" w:lineRule="exact"/>
        <w:rPr>
          <w:sz w:val="20"/>
          <w:szCs w:val="20"/>
          <w:color w:val="auto"/>
        </w:rPr>
      </w:pPr>
    </w:p>
    <w:p>
      <w:pPr>
        <w:ind w:left="1240" w:right="6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become and remain profitable may never be achieved due to the uncertainty of developing and commercializing complex therapies, and we may never achieve or maintain profitability.</w:t>
      </w:r>
    </w:p>
    <w:p>
      <w:pPr>
        <w:spacing w:after="0" w:line="67" w:lineRule="exact"/>
        <w:rPr>
          <w:rFonts w:ascii="Times New Roman" w:cs="Times New Roman" w:eastAsia="Times New Roman" w:hAnsi="Times New Roman"/>
          <w:sz w:val="18"/>
          <w:szCs w:val="18"/>
          <w:color w:val="auto"/>
        </w:rPr>
      </w:pPr>
    </w:p>
    <w:p>
      <w:pPr>
        <w:ind w:left="1240" w:right="4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need for additional funding to complete the development of our product candidates, which may not be available on acceptable terms, if at all.</w:t>
      </w:r>
    </w:p>
    <w:p>
      <w:pPr>
        <w:spacing w:after="0" w:line="67" w:lineRule="exact"/>
        <w:rPr>
          <w:rFonts w:ascii="Times New Roman" w:cs="Times New Roman" w:eastAsia="Times New Roman" w:hAnsi="Times New Roman"/>
          <w:sz w:val="18"/>
          <w:szCs w:val="18"/>
          <w:color w:val="auto"/>
        </w:rPr>
      </w:pPr>
    </w:p>
    <w:p>
      <w:pPr>
        <w:jc w:val="both"/>
        <w:ind w:left="1240" w:right="32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or manufacture raw materials or key starting materials necessary for product manufacture, such as lentiviral vectors, would adversely affect the clinical development and commercialization of these products, which could, in turn, adversely affect our sales and profitability.</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35" w:lineRule="exact"/>
        <w:rPr>
          <w:sz w:val="20"/>
          <w:szCs w:val="20"/>
          <w:color w:val="auto"/>
        </w:rPr>
      </w:pPr>
    </w:p>
    <w:p>
      <w:pPr>
        <w:ind w:left="1240" w:right="56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of the biopharmaceutical development process for novel and emergent treatment, including the uncertainty of outcomes of clinical trials, and the potential failure of product candidates to show safety or efficacy.</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76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120" w:hanging="415"/>
        <w:spacing w:after="0" w:line="26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primary research and development efforts are focused on cell therapies, including autologous and in vivo CAR-T therapies, allogeneic rdT and NK (chimeric antigen receptor natural killer cell (“CAR-NK”) therapies, which are emerging treatments that face significant challenges and hurdles.</w:t>
      </w:r>
    </w:p>
    <w:p>
      <w:pPr>
        <w:spacing w:after="0" w:line="81"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side effects or other safety risks associated with our product candidates could delay or preclude approval, cause us to suspend or discontinue clinical trials, cause us to abandon product candidates, limit the commercial profile of an approved label or result in significant negative consequences following marketing approval.</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enrollment of patients in clinical trials for development of our product candidates.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investigator-initiated clinical trials and studies that we do not fully control.</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product opportunities may face limited market opportunities.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in the manufacture of complex cell therapies.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35" w:lineRule="exact"/>
        <w:rPr>
          <w:sz w:val="20"/>
          <w:szCs w:val="20"/>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such as Janssen, for development, manufacturing and commercialization of our product candidates.</w:t>
      </w:r>
    </w:p>
    <w:p>
      <w:pPr>
        <w:spacing w:after="0" w:line="130" w:lineRule="exact"/>
        <w:rPr>
          <w:rFonts w:ascii="Times New Roman" w:cs="Times New Roman" w:eastAsia="Times New Roman" w:hAnsi="Times New Roman"/>
          <w:sz w:val="18"/>
          <w:szCs w:val="18"/>
          <w:color w:val="auto"/>
        </w:rPr>
      </w:pPr>
    </w:p>
    <w:p>
      <w:pPr>
        <w:ind w:left="1240" w:right="38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our preclinical and clinical trials and the potential that such third parties may not perform satisfactorily.</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reagents, specialized equipment and other specialty materials.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35" w:lineRule="exact"/>
        <w:rPr>
          <w:sz w:val="20"/>
          <w:szCs w:val="20"/>
          <w:color w:val="auto"/>
        </w:rPr>
      </w:pPr>
    </w:p>
    <w:p>
      <w:pPr>
        <w:ind w:left="1240" w:right="40" w:hanging="415"/>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and costs associated with complying with a rigorous, complex and evolving regulatory framework, including clinical trial regulations, pre-marketing regulatory requirements, pricing, reimbursement and cost-containment regulations, and ongoing regulation of approved products.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price controls in certain jurisdictions on our revenue and commercialization.</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135" w:lineRule="exact"/>
        <w:rPr>
          <w:sz w:val="20"/>
          <w:szCs w:val="20"/>
          <w:color w:val="auto"/>
        </w:rPr>
      </w:pPr>
    </w:p>
    <w:p>
      <w:pPr>
        <w:ind w:left="1240" w:right="38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defend and enforce intellectual property rights in our products and disparities and uncertainties in intellectual property rights throughout the world.</w:t>
      </w:r>
    </w:p>
    <w:p>
      <w:pPr>
        <w:spacing w:after="0" w:line="67"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third party intellectual property rights, including the significant cost and complexity associated with intellectual property proceedings.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doing business in China, including the impact of extensive Chinese regulation on the pharmaceutical industry.</w:t>
      </w:r>
    </w:p>
    <w:p>
      <w:pPr>
        <w:spacing w:after="0" w:line="130"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heightened level of government involvement in the Chinese economy and uncertainties regarding legal protections in the PRC legal system.</w:t>
      </w:r>
    </w:p>
    <w:p>
      <w:pPr>
        <w:spacing w:after="0" w:line="67"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governmental authorities may intervene or influence our operations at any time, which could result in a material change in our operations and significantly and adversely impact the value of our ADSs.</w:t>
      </w:r>
    </w:p>
    <w:p>
      <w:pPr>
        <w:spacing w:after="0" w:line="67"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 of loans and direct investment by offshore holding companies to PRC entities may delay or prevent us from making loans or additional capital contributions to our PRC operating subsidiaries.</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00"/>
          </w:cols>
          <w:pgMar w:left="320" w:top="455" w:right="6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82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line="255"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may exert more control over offerings conducted outside the PRC and/or investment by non-PRC investors in issuers with operations in China, which could materially and adversely affect our operations in the PRC, and could significantly limit, delay or hinder our ability to offer or continue to offer securities to investors, or cause the value of such securities to significantly decline. For example, the approval of, or filing or other procedures with, the China Securities Regulatory Commission (the “CSRC”) or other governmental authority may be required in connection with issuing our equity securities outside of the PRC under Chinese law, and, if required, we cannot predict whether we will be able, or how long it will take us, to obtain such approval or complete such filing or other procedures.</w:t>
      </w:r>
    </w:p>
    <w:p>
      <w:pPr>
        <w:spacing w:after="0" w:line="94"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regulations relating to offshore investment activities by PRC residents and enterprises may increase our administrative burden and restrict our non-PRC and cross-border investment activity.</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Monetary, economic, political, environmental, social, and trade disputes between the United States and China.</w:t>
      </w:r>
    </w:p>
    <w:p>
      <w:pPr>
        <w:spacing w:after="0" w:line="130" w:lineRule="exact"/>
        <w:rPr>
          <w:rFonts w:ascii="Times New Roman" w:cs="Times New Roman" w:eastAsia="Times New Roman" w:hAnsi="Times New Roman"/>
          <w:sz w:val="18"/>
          <w:szCs w:val="18"/>
          <w:color w:val="auto"/>
        </w:rPr>
      </w:pPr>
    </w:p>
    <w:p>
      <w:pPr>
        <w:jc w:val="both"/>
        <w:ind w:left="1240" w:right="580" w:hanging="415"/>
        <w:spacing w:after="0" w:line="266"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heightened level of actions by the U.S. government in targeting Chinese companies and, in the biotech industry, the U.S. government seeking to implement heightened supply chain security for sourcing from China and limitations on the transfer of technology to recipients within China.</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35" w:lineRule="exact"/>
        <w:rPr>
          <w:sz w:val="20"/>
          <w:szCs w:val="20"/>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organizational structure may create significant conflicts of interest.</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more limited protections afforded to shareholders as a result of our status as a foreign private issuer.</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Our Securities</w:t>
      </w:r>
    </w:p>
    <w:p>
      <w:pPr>
        <w:spacing w:after="0" w:line="135" w:lineRule="exact"/>
        <w:rPr>
          <w:sz w:val="20"/>
          <w:szCs w:val="20"/>
          <w:color w:val="auto"/>
        </w:rPr>
      </w:pPr>
    </w:p>
    <w:p>
      <w:pPr>
        <w:ind w:left="1240" w:right="180" w:hanging="415"/>
        <w:spacing w:after="0" w:line="312" w:lineRule="auto"/>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owning our ADSs, including volatility in our trading price due to our business and financial performance, potential tax consequences and risks from dilution of our ADSs and ordinary shares if we issue additional ADSs or other securities.</w:t>
      </w:r>
    </w:p>
    <w:p>
      <w:pPr>
        <w:spacing w:after="0" w:line="45" w:lineRule="exact"/>
        <w:rPr>
          <w:rFonts w:ascii="Times New Roman" w:cs="Times New Roman" w:eastAsia="Times New Roman" w:hAnsi="Times New Roman"/>
          <w:sz w:val="17"/>
          <w:szCs w:val="17"/>
          <w:color w:val="auto"/>
        </w:rPr>
      </w:pPr>
    </w:p>
    <w:p>
      <w:pPr>
        <w:ind w:left="1240" w:hanging="415"/>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immediate dilution you will suffer if you invest in this offering.</w:t>
      </w:r>
    </w:p>
    <w:p>
      <w:pPr>
        <w:spacing w:after="0" w:line="130"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broad discretion in the use of proceeds from this offering and may invest or spend the proceeds in ways with which you do not agree and in ways that may not increase the value of your investment.</w:t>
      </w:r>
    </w:p>
    <w:p>
      <w:pPr>
        <w:spacing w:after="0" w:line="37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229"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We are a “foreign private issuer,” as defined by the SEC. As a result, in accordance with Nasdaq rules, we comply with home country governance requirements and certain exemptions thereunder rather than complying with Nasdaq corporate governance standards. As long as we qualify as a foreign private issuer under the Exchange Act we will be exempt from certain provisions of the Exchange Act that are applicable to U.S. domestic public companies, including:</w:t>
      </w:r>
    </w:p>
    <w:p>
      <w:pPr>
        <w:spacing w:after="0" w:line="85" w:lineRule="exact"/>
        <w:rPr>
          <w:sz w:val="20"/>
          <w:szCs w:val="20"/>
          <w:color w:val="auto"/>
        </w:rPr>
      </w:pPr>
    </w:p>
    <w:p>
      <w:pPr>
        <w:ind w:left="1240" w:right="44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filing quarterly reports on Form 10-Q containing unaudited financial and other specified information or current reports on Form 8-K upon the occurrence of specified significant events;</w:t>
      </w:r>
    </w:p>
    <w:p>
      <w:pPr>
        <w:spacing w:after="0" w:line="67"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Section 16 rules requiring our principal shareholders to file public reports of their securities ownership and trading activities and providing for liability for insiders who profit from trades in a short period of time;</w:t>
      </w:r>
    </w:p>
    <w:p>
      <w:pPr>
        <w:spacing w:after="0" w:line="28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860"/>
          </w:cols>
          <w:pgMar w:left="320" w:top="455" w:right="7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67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900" w:hanging="415"/>
        <w:spacing w:after="0" w:line="282"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for the Nasdaq listing rules applicable to domestic issuers requiring disclosure within four business days of any determination to grant a waiver of the code of business conduct and ethics to directors and officers;</w:t>
      </w:r>
    </w:p>
    <w:p>
      <w:pPr>
        <w:spacing w:after="0" w:line="67"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obtain shareholder approval for certain issuances of securities, including shareholder approval of share option plans;</w:t>
      </w:r>
    </w:p>
    <w:p>
      <w:pPr>
        <w:spacing w:after="0" w:line="67" w:lineRule="exact"/>
        <w:rPr>
          <w:rFonts w:ascii="Times New Roman" w:cs="Times New Roman" w:eastAsia="Times New Roman" w:hAnsi="Times New Roman"/>
          <w:sz w:val="18"/>
          <w:szCs w:val="18"/>
          <w:color w:val="auto"/>
        </w:rPr>
      </w:pPr>
    </w:p>
    <w:p>
      <w:pPr>
        <w:ind w:left="1240" w:right="880" w:hanging="415"/>
        <w:spacing w:after="0" w:line="282"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audit committee have review and oversight responsibilities over all “related party transactions,” as defined in Item 7.B. of Form 20-F;</w:t>
      </w:r>
    </w:p>
    <w:p>
      <w:pPr>
        <w:spacing w:after="0" w:line="67"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board have a compensation committee that is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240" w:right="180" w:hanging="415"/>
        <w:spacing w:after="0" w:line="261"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of directors, either by (1) independent directors constituting a majority of our board of directors’ independent directors in a vote in which only independent directors participate, or (2) a committee comprised solely of independent directors, and that a formal written charter or board resolution, as applicable, addressing the nominations process is adopted.</w:t>
      </w:r>
    </w:p>
    <w:p>
      <w:pPr>
        <w:spacing w:after="0" w:line="180" w:lineRule="exact"/>
        <w:rPr>
          <w:sz w:val="20"/>
          <w:szCs w:val="20"/>
          <w:color w:val="auto"/>
        </w:rPr>
      </w:pPr>
    </w:p>
    <w:p>
      <w:pPr>
        <w:ind w:left="300" w:right="60" w:firstLine="426"/>
        <w:spacing w:after="0" w:line="256" w:lineRule="auto"/>
        <w:rPr>
          <w:sz w:val="20"/>
          <w:szCs w:val="20"/>
          <w:color w:val="auto"/>
        </w:rPr>
      </w:pPr>
      <w:r>
        <w:rPr>
          <w:rFonts w:ascii="Times New Roman" w:cs="Times New Roman" w:eastAsia="Times New Roman" w:hAnsi="Times New Roman"/>
          <w:sz w:val="18"/>
          <w:szCs w:val="18"/>
          <w:color w:val="auto"/>
        </w:rPr>
        <w:t>We currently rely on foreign private issuer exemptions to Nasdaq Rules 5605(d) and 5605(e), as currently only two of the three members of each of our compensation committee and nominating and corporate governance committee are independent directors. Additionally, we may in the future rely on additional foreign private issuer exemptions, including exemptions allowing for less than a majority of our board of directors to consist of independent directors, and so fewer board members would be exercising independent judgment and the level of board oversight on the management of our company may decrease as a result. The foreign private issuer exemptions do not modify the independence requirements for the audit committee.</w:t>
      </w:r>
    </w:p>
    <w:p>
      <w:pPr>
        <w:spacing w:after="0" w:line="3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CORPORATE HISTORY AND INFORMATION</w:t>
      </w:r>
    </w:p>
    <w:p>
      <w:pPr>
        <w:spacing w:after="0" w:line="229" w:lineRule="exact"/>
        <w:rPr>
          <w:sz w:val="20"/>
          <w:szCs w:val="20"/>
          <w:color w:val="auto"/>
        </w:rPr>
      </w:pPr>
    </w:p>
    <w:p>
      <w:pPr>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We are an exempted company incorporated in the Cayman Islands with limited liability. We commenced our operations in China in November 2014 as a wholly owned subsidiary of Genscript Biotech Corporation (“Genscript”). In May 2015, we incorporated Legend Biotech Corporation under the laws of the Cayman Islands, which became our ultimate holding company through a series of transactions.</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2101 Cottontail Lane, Somerset, New Jersey 08873. Our telephone number at this address is</w:t>
      </w:r>
    </w:p>
    <w:p>
      <w:pPr>
        <w:spacing w:after="0" w:line="27" w:lineRule="exact"/>
        <w:rPr>
          <w:sz w:val="20"/>
          <w:szCs w:val="20"/>
          <w:color w:val="auto"/>
        </w:rPr>
      </w:pPr>
    </w:p>
    <w:p>
      <w:pPr>
        <w:ind w:left="300" w:right="120" w:hanging="2"/>
        <w:spacing w:after="0" w:line="255" w:lineRule="auto"/>
        <w:tabs>
          <w:tab w:leader="none" w:pos="7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317-5050. Our registered office in the Cayman Islands is located at 4th Floor, Harbour Place, 103 South Church Street, P.O. Box 10240, Grand Cayman KY1-1002, Cayman Islands. Investors should submit any inquiries to the address and telephone number of our principal executive offices set forth above.</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xml:space="preserve">Our main website is </w:t>
      </w:r>
      <w:r>
        <w:rPr>
          <w:rFonts w:ascii="Times New Roman" w:cs="Times New Roman" w:eastAsia="Times New Roman" w:hAnsi="Times New Roman"/>
          <w:sz w:val="18"/>
          <w:szCs w:val="18"/>
          <w:i w:val="1"/>
          <w:iCs w:val="1"/>
          <w:color w:val="auto"/>
        </w:rPr>
        <w:t>www.legendbiotech.com</w:t>
      </w:r>
      <w:r>
        <w:rPr>
          <w:rFonts w:ascii="Times New Roman" w:cs="Times New Roman" w:eastAsia="Times New Roman" w:hAnsi="Times New Roman"/>
          <w:sz w:val="18"/>
          <w:szCs w:val="18"/>
          <w:color w:val="auto"/>
        </w:rPr>
        <w:t>. The information contained on this website is not a part of this prospectus supplement.</w:t>
      </w:r>
    </w:p>
    <w:p>
      <w:pPr>
        <w:spacing w:after="0" w:line="227"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“Legend Biotech,” the Legend logo and other trademarks or service marks of Legend Biotech Corporation appearing in this prospectus supplement and the accompanying prospectus are the property of Legend Biotech Corporation. Trade names, trademarks and service marks of other companies appearing in this prospectus supplement and the accompanying prospectus are the property of their respective holders.</w:t>
      </w:r>
    </w:p>
    <w:p>
      <w:pPr>
        <w:spacing w:after="0" w:line="176"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Beginning with the audit for our fiscal year ended December 31, 2022, our independent registered public accounting firm has been Ernst &amp; Young LLP, located in New Jersey in the United States. Accordingly, we are not at risk of our securities being prohibited from trading on a national securities exchange in the United States pursuant to the Holding Foreign Companies Accountable Act.</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992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19926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CONVENTIONS THAT APPLY TO THIS PROSPECTUS SUPPLEMENT</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prospectus supplement to:</w:t>
      </w:r>
    </w:p>
    <w:p>
      <w:pPr>
        <w:spacing w:after="0" w:line="131" w:lineRule="exact"/>
        <w:rPr>
          <w:sz w:val="20"/>
          <w:szCs w:val="20"/>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the American depositary shares, each of which represents two of our ordinary shares;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are to the American depositary receipts that evidence the ADSs;</w:t>
      </w:r>
    </w:p>
    <w:p>
      <w:pPr>
        <w:spacing w:after="0" w:line="130"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refers to the People’s Republic of China, excluding, for the purpose of this prospectus supplement only, the Hong Kong Special Administrative Region, the Macau Special Administrative Region and Taiwan; “Greater China” does not exclude Hong Kong Special Administrative Region, the Macau Special Administrative Region and Taiwan;</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to ordinary shares of our company, par value $0.0001 per share;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 or “dollars” are to the legal currency of the United States.</w:t>
      </w:r>
    </w:p>
    <w:p>
      <w:pPr>
        <w:spacing w:after="0" w:line="34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840"/>
          </w:cols>
          <w:pgMar w:left="320" w:top="455" w:right="7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40" w:type="dxa"/>
            <w:vAlign w:val="bottom"/>
            <w:gridSpan w:val="5"/>
          </w:tcPr>
          <w:p>
            <w:pPr>
              <w:jc w:val="right"/>
              <w:ind w:right="453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41"/>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ADSs offered by us</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7"/>
              </w:rPr>
              <w:t>ADSs (or 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7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ADSs if the underwriters exercise their option to purchase</w:t>
            </w:r>
          </w:p>
        </w:tc>
      </w:tr>
      <w:tr>
        <w:trPr>
          <w:trHeight w:val="234"/>
        </w:trPr>
        <w:tc>
          <w:tcPr>
            <w:tcW w:w="3900" w:type="dxa"/>
            <w:vAlign w:val="bottom"/>
          </w:tcPr>
          <w:p>
            <w:pPr>
              <w:spacing w:after="0"/>
              <w:rPr>
                <w:sz w:val="20"/>
                <w:szCs w:val="20"/>
                <w:color w:val="auto"/>
              </w:rPr>
            </w:pPr>
          </w:p>
        </w:tc>
        <w:tc>
          <w:tcPr>
            <w:tcW w:w="198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additional ADSs in full).</w:t>
            </w:r>
          </w:p>
        </w:tc>
        <w:tc>
          <w:tcPr>
            <w:tcW w:w="4760" w:type="dxa"/>
            <w:vAlign w:val="bottom"/>
          </w:tcPr>
          <w:p>
            <w:pPr>
              <w:spacing w:after="0"/>
              <w:rPr>
                <w:sz w:val="20"/>
                <w:szCs w:val="20"/>
                <w:color w:val="auto"/>
              </w:rPr>
            </w:pPr>
          </w:p>
        </w:tc>
      </w:tr>
      <w:tr>
        <w:trPr>
          <w:trHeight w:val="319"/>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ADSs to be outstanding immediately after this offering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7"/>
              </w:rPr>
              <w:t>ADSs (or 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7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ADSs if the underwriters exercise their option to purchase</w:t>
            </w:r>
          </w:p>
        </w:tc>
      </w:tr>
      <w:tr>
        <w:trPr>
          <w:trHeight w:val="234"/>
        </w:trPr>
        <w:tc>
          <w:tcPr>
            <w:tcW w:w="3900" w:type="dxa"/>
            <w:vAlign w:val="bottom"/>
          </w:tcPr>
          <w:p>
            <w:pPr>
              <w:spacing w:after="0"/>
              <w:rPr>
                <w:sz w:val="20"/>
                <w:szCs w:val="20"/>
                <w:color w:val="auto"/>
              </w:rPr>
            </w:pPr>
          </w:p>
        </w:tc>
        <w:tc>
          <w:tcPr>
            <w:tcW w:w="198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additional ADSs in full).</w:t>
            </w:r>
          </w:p>
        </w:tc>
        <w:tc>
          <w:tcPr>
            <w:tcW w:w="4760" w:type="dxa"/>
            <w:vAlign w:val="bottom"/>
          </w:tcPr>
          <w:p>
            <w:pPr>
              <w:spacing w:after="0"/>
              <w:rPr>
                <w:sz w:val="20"/>
                <w:szCs w:val="20"/>
                <w:color w:val="auto"/>
              </w:rPr>
            </w:pPr>
          </w:p>
        </w:tc>
      </w:tr>
      <w:tr>
        <w:trPr>
          <w:trHeight w:val="31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to be outstanding immediately after</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6140" w:type="dxa"/>
            <w:vAlign w:val="bottom"/>
            <w:gridSpan w:val="5"/>
          </w:tcPr>
          <w:p>
            <w:pPr>
              <w:jc w:val="right"/>
              <w:ind w:right="410"/>
              <w:spacing w:after="0"/>
              <w:rPr>
                <w:sz w:val="20"/>
                <w:szCs w:val="20"/>
                <w:color w:val="auto"/>
              </w:rPr>
            </w:pPr>
            <w:r>
              <w:rPr>
                <w:rFonts w:ascii="Times New Roman" w:cs="Times New Roman" w:eastAsia="Times New Roman" w:hAnsi="Times New Roman"/>
                <w:sz w:val="18"/>
                <w:szCs w:val="18"/>
                <w:color w:val="auto"/>
              </w:rPr>
              <w:t>ordinary shares (or            ordinary shares if the underwriters exercise their</w:t>
            </w:r>
          </w:p>
        </w:tc>
      </w:tr>
      <w:tr>
        <w:trPr>
          <w:trHeight w:val="234"/>
        </w:trPr>
        <w:tc>
          <w:tcPr>
            <w:tcW w:w="3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this offering</w:t>
            </w:r>
          </w:p>
        </w:tc>
        <w:tc>
          <w:tcPr>
            <w:tcW w:w="67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option to purchase additional ADSs in full).</w:t>
            </w:r>
          </w:p>
        </w:tc>
      </w:tr>
      <w:tr>
        <w:trPr>
          <w:trHeight w:val="33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Option to purchase additional ADSs</w:t>
            </w:r>
          </w:p>
        </w:tc>
        <w:tc>
          <w:tcPr>
            <w:tcW w:w="67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We have granted the underwriters an option, exercisable within 30 days from the date of</w:t>
            </w:r>
          </w:p>
        </w:tc>
      </w:tr>
      <w:tr>
        <w:trPr>
          <w:trHeight w:val="234"/>
        </w:trPr>
        <w:tc>
          <w:tcPr>
            <w:tcW w:w="3900" w:type="dxa"/>
            <w:vAlign w:val="bottom"/>
          </w:tcPr>
          <w:p>
            <w:pPr>
              <w:spacing w:after="0"/>
              <w:rPr>
                <w:sz w:val="20"/>
                <w:szCs w:val="20"/>
                <w:color w:val="auto"/>
              </w:rPr>
            </w:pPr>
          </w:p>
        </w:tc>
        <w:tc>
          <w:tcPr>
            <w:tcW w:w="67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this prospectus supplement, to purchase up to an additional            ADSs from us.</w:t>
            </w:r>
          </w:p>
        </w:tc>
      </w:tr>
      <w:tr>
        <w:trPr>
          <w:trHeight w:val="338"/>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American Depositary Shares</w:t>
            </w:r>
          </w:p>
        </w:tc>
        <w:tc>
          <w:tcPr>
            <w:tcW w:w="67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Each ADS represents two ordinary shares.</w:t>
            </w:r>
          </w:p>
        </w:tc>
      </w:tr>
      <w:tr>
        <w:trPr>
          <w:trHeight w:val="333"/>
        </w:trPr>
        <w:tc>
          <w:tcPr>
            <w:tcW w:w="3900" w:type="dxa"/>
            <w:vAlign w:val="bottom"/>
          </w:tcPr>
          <w:p>
            <w:pPr>
              <w:spacing w:after="0"/>
              <w:rPr>
                <w:sz w:val="24"/>
                <w:szCs w:val="24"/>
                <w:color w:val="auto"/>
              </w:rPr>
            </w:pPr>
          </w:p>
        </w:tc>
        <w:tc>
          <w:tcPr>
            <w:tcW w:w="67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The depositary will hold ordinary shares underlying your ADSs. You will have rights as</w:t>
            </w:r>
          </w:p>
        </w:tc>
      </w:tr>
      <w:tr>
        <w:trPr>
          <w:trHeight w:val="216"/>
        </w:trPr>
        <w:tc>
          <w:tcPr>
            <w:tcW w:w="3900" w:type="dxa"/>
            <w:vAlign w:val="bottom"/>
          </w:tcPr>
          <w:p>
            <w:pPr>
              <w:spacing w:after="0"/>
              <w:rPr>
                <w:sz w:val="18"/>
                <w:szCs w:val="18"/>
                <w:color w:val="auto"/>
              </w:rPr>
            </w:pPr>
          </w:p>
        </w:tc>
        <w:tc>
          <w:tcPr>
            <w:tcW w:w="67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provided in the deposit agreement among us, the depositary and owners and holders of</w:t>
            </w:r>
          </w:p>
        </w:tc>
      </w:tr>
      <w:tr>
        <w:trPr>
          <w:trHeight w:val="234"/>
        </w:trPr>
        <w:tc>
          <w:tcPr>
            <w:tcW w:w="3900" w:type="dxa"/>
            <w:vAlign w:val="bottom"/>
          </w:tcPr>
          <w:p>
            <w:pPr>
              <w:spacing w:after="0"/>
              <w:rPr>
                <w:sz w:val="20"/>
                <w:szCs w:val="20"/>
                <w:color w:val="auto"/>
              </w:rPr>
            </w:pPr>
          </w:p>
        </w:tc>
        <w:tc>
          <w:tcPr>
            <w:tcW w:w="198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ADSs from time to time.</w:t>
            </w:r>
          </w:p>
        </w:tc>
        <w:tc>
          <w:tcPr>
            <w:tcW w:w="4760" w:type="dxa"/>
            <w:vAlign w:val="bottom"/>
          </w:tcPr>
          <w:p>
            <w:pPr>
              <w:spacing w:after="0"/>
              <w:rPr>
                <w:sz w:val="20"/>
                <w:szCs w:val="20"/>
                <w:color w:val="auto"/>
              </w:rPr>
            </w:pPr>
          </w:p>
        </w:tc>
      </w:tr>
      <w:tr>
        <w:trPr>
          <w:trHeight w:val="319"/>
        </w:trPr>
        <w:tc>
          <w:tcPr>
            <w:tcW w:w="3900" w:type="dxa"/>
            <w:vAlign w:val="bottom"/>
          </w:tcPr>
          <w:p>
            <w:pPr>
              <w:spacing w:after="0"/>
              <w:rPr>
                <w:sz w:val="24"/>
                <w:szCs w:val="24"/>
                <w:color w:val="auto"/>
              </w:rPr>
            </w:pPr>
          </w:p>
        </w:tc>
        <w:tc>
          <w:tcPr>
            <w:tcW w:w="67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We do not expect to pay dividends in the foreseeable future. If, however, we declare</w:t>
            </w:r>
          </w:p>
        </w:tc>
      </w:tr>
      <w:tr>
        <w:trPr>
          <w:trHeight w:val="216"/>
        </w:trPr>
        <w:tc>
          <w:tcPr>
            <w:tcW w:w="3900" w:type="dxa"/>
            <w:vAlign w:val="bottom"/>
          </w:tcPr>
          <w:p>
            <w:pPr>
              <w:spacing w:after="0"/>
              <w:rPr>
                <w:sz w:val="18"/>
                <w:szCs w:val="18"/>
                <w:color w:val="auto"/>
              </w:rPr>
            </w:pPr>
          </w:p>
        </w:tc>
        <w:tc>
          <w:tcPr>
            <w:tcW w:w="67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dividends on our ordinary shares, the depositary will distribute the cash dividends and</w:t>
            </w:r>
          </w:p>
        </w:tc>
      </w:tr>
      <w:tr>
        <w:trPr>
          <w:trHeight w:val="216"/>
        </w:trPr>
        <w:tc>
          <w:tcPr>
            <w:tcW w:w="3900" w:type="dxa"/>
            <w:vAlign w:val="bottom"/>
          </w:tcPr>
          <w:p>
            <w:pPr>
              <w:spacing w:after="0"/>
              <w:rPr>
                <w:sz w:val="18"/>
                <w:szCs w:val="18"/>
                <w:color w:val="auto"/>
              </w:rPr>
            </w:pPr>
          </w:p>
        </w:tc>
        <w:tc>
          <w:tcPr>
            <w:tcW w:w="67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other distributions it receives on our ordinary shares after deducting its fees and expenses</w:t>
            </w:r>
          </w:p>
        </w:tc>
      </w:tr>
      <w:tr>
        <w:trPr>
          <w:trHeight w:val="234"/>
        </w:trPr>
        <w:tc>
          <w:tcPr>
            <w:tcW w:w="3900" w:type="dxa"/>
            <w:vAlign w:val="bottom"/>
          </w:tcPr>
          <w:p>
            <w:pPr>
              <w:spacing w:after="0"/>
              <w:rPr>
                <w:sz w:val="20"/>
                <w:szCs w:val="20"/>
                <w:color w:val="auto"/>
              </w:rPr>
            </w:pPr>
          </w:p>
        </w:tc>
        <w:tc>
          <w:tcPr>
            <w:tcW w:w="67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in accordance with the terms set forth in the deposit agreement.</w:t>
            </w:r>
          </w:p>
        </w:tc>
      </w:tr>
      <w:tr>
        <w:trPr>
          <w:trHeight w:val="319"/>
        </w:trPr>
        <w:tc>
          <w:tcPr>
            <w:tcW w:w="3900" w:type="dxa"/>
            <w:vAlign w:val="bottom"/>
          </w:tcPr>
          <w:p>
            <w:pPr>
              <w:spacing w:after="0"/>
              <w:rPr>
                <w:sz w:val="24"/>
                <w:szCs w:val="24"/>
                <w:color w:val="auto"/>
              </w:rPr>
            </w:pPr>
          </w:p>
        </w:tc>
        <w:tc>
          <w:tcPr>
            <w:tcW w:w="67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You may surrender your ADSs to the depositary for cancellation in exchange for ordinary</w:t>
            </w:r>
          </w:p>
        </w:tc>
      </w:tr>
      <w:tr>
        <w:trPr>
          <w:trHeight w:val="234"/>
        </w:trPr>
        <w:tc>
          <w:tcPr>
            <w:tcW w:w="3900" w:type="dxa"/>
            <w:vAlign w:val="bottom"/>
          </w:tcPr>
          <w:p>
            <w:pPr>
              <w:spacing w:after="0"/>
              <w:rPr>
                <w:sz w:val="20"/>
                <w:szCs w:val="20"/>
                <w:color w:val="auto"/>
              </w:rPr>
            </w:pPr>
          </w:p>
        </w:tc>
        <w:tc>
          <w:tcPr>
            <w:tcW w:w="67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shares. The depositary will charge you fees for any cancellation.</w:t>
            </w:r>
          </w:p>
        </w:tc>
      </w:tr>
      <w:tr>
        <w:trPr>
          <w:trHeight w:val="319"/>
        </w:trPr>
        <w:tc>
          <w:tcPr>
            <w:tcW w:w="3900" w:type="dxa"/>
            <w:vAlign w:val="bottom"/>
          </w:tcPr>
          <w:p>
            <w:pPr>
              <w:spacing w:after="0"/>
              <w:rPr>
                <w:sz w:val="24"/>
                <w:szCs w:val="24"/>
                <w:color w:val="auto"/>
              </w:rPr>
            </w:pPr>
          </w:p>
        </w:tc>
        <w:tc>
          <w:tcPr>
            <w:tcW w:w="67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w w:val="99"/>
              </w:rPr>
              <w:t>We may amend or terminate the deposit agreement without your consent. If you continue to</w:t>
            </w:r>
          </w:p>
        </w:tc>
      </w:tr>
      <w:tr>
        <w:trPr>
          <w:trHeight w:val="216"/>
        </w:trPr>
        <w:tc>
          <w:tcPr>
            <w:tcW w:w="3900" w:type="dxa"/>
            <w:vAlign w:val="bottom"/>
          </w:tcPr>
          <w:p>
            <w:pPr>
              <w:spacing w:after="0"/>
              <w:rPr>
                <w:sz w:val="18"/>
                <w:szCs w:val="18"/>
                <w:color w:val="auto"/>
              </w:rPr>
            </w:pPr>
          </w:p>
        </w:tc>
        <w:tc>
          <w:tcPr>
            <w:tcW w:w="67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hold your ADSs after an amendment to the deposit agreement, you agree to be bound by</w:t>
            </w:r>
          </w:p>
        </w:tc>
      </w:tr>
      <w:tr>
        <w:trPr>
          <w:trHeight w:val="234"/>
        </w:trPr>
        <w:tc>
          <w:tcPr>
            <w:tcW w:w="3900" w:type="dxa"/>
            <w:vAlign w:val="bottom"/>
          </w:tcPr>
          <w:p>
            <w:pPr>
              <w:spacing w:after="0"/>
              <w:rPr>
                <w:sz w:val="20"/>
                <w:szCs w:val="20"/>
                <w:color w:val="auto"/>
              </w:rPr>
            </w:pPr>
          </w:p>
        </w:tc>
        <w:tc>
          <w:tcPr>
            <w:tcW w:w="67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the deposit agreement as amended.</w:t>
            </w:r>
          </w:p>
        </w:tc>
      </w:tr>
      <w:tr>
        <w:trPr>
          <w:trHeight w:val="319"/>
        </w:trPr>
        <w:tc>
          <w:tcPr>
            <w:tcW w:w="3900" w:type="dxa"/>
            <w:vAlign w:val="bottom"/>
          </w:tcPr>
          <w:p>
            <w:pPr>
              <w:spacing w:after="0"/>
              <w:rPr>
                <w:sz w:val="24"/>
                <w:szCs w:val="24"/>
                <w:color w:val="auto"/>
              </w:rPr>
            </w:pPr>
          </w:p>
        </w:tc>
        <w:tc>
          <w:tcPr>
            <w:tcW w:w="67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To better understand the terms of the ADSs, you should carefully read the “Description of</w:t>
            </w:r>
          </w:p>
        </w:tc>
      </w:tr>
      <w:tr>
        <w:trPr>
          <w:trHeight w:val="216"/>
        </w:trPr>
        <w:tc>
          <w:tcPr>
            <w:tcW w:w="3900" w:type="dxa"/>
            <w:vAlign w:val="bottom"/>
          </w:tcPr>
          <w:p>
            <w:pPr>
              <w:spacing w:after="0"/>
              <w:rPr>
                <w:sz w:val="18"/>
                <w:szCs w:val="18"/>
                <w:color w:val="auto"/>
              </w:rPr>
            </w:pPr>
          </w:p>
        </w:tc>
        <w:tc>
          <w:tcPr>
            <w:tcW w:w="67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American Depositary Shares” section of the accompanying prospectus. You should also</w:t>
            </w:r>
          </w:p>
        </w:tc>
      </w:tr>
      <w:tr>
        <w:trPr>
          <w:trHeight w:val="216"/>
        </w:trPr>
        <w:tc>
          <w:tcPr>
            <w:tcW w:w="3900" w:type="dxa"/>
            <w:vAlign w:val="bottom"/>
          </w:tcPr>
          <w:p>
            <w:pPr>
              <w:spacing w:after="0"/>
              <w:rPr>
                <w:sz w:val="18"/>
                <w:szCs w:val="18"/>
                <w:color w:val="auto"/>
              </w:rPr>
            </w:pPr>
          </w:p>
        </w:tc>
        <w:tc>
          <w:tcPr>
            <w:tcW w:w="67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read the deposit agreement, which is filed as an exhibit to the registration statement to</w:t>
            </w:r>
          </w:p>
        </w:tc>
      </w:tr>
      <w:tr>
        <w:trPr>
          <w:trHeight w:val="234"/>
        </w:trPr>
        <w:tc>
          <w:tcPr>
            <w:tcW w:w="3900" w:type="dxa"/>
            <w:vAlign w:val="bottom"/>
          </w:tcPr>
          <w:p>
            <w:pPr>
              <w:spacing w:after="0"/>
              <w:rPr>
                <w:sz w:val="20"/>
                <w:szCs w:val="20"/>
                <w:color w:val="auto"/>
              </w:rPr>
            </w:pPr>
          </w:p>
        </w:tc>
        <w:tc>
          <w:tcPr>
            <w:tcW w:w="67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which this prospectus supplement relates.</w:t>
            </w:r>
          </w:p>
        </w:tc>
      </w:tr>
      <w:tr>
        <w:trPr>
          <w:trHeight w:val="337"/>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Depositary</w:t>
            </w:r>
          </w:p>
        </w:tc>
        <w:tc>
          <w:tcPr>
            <w:tcW w:w="67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JPMorgan Chase Bank, N.A.</w:t>
            </w:r>
          </w:p>
        </w:tc>
      </w:tr>
      <w:tr>
        <w:trPr>
          <w:trHeight w:val="33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7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We estimate that the net proceeds to us from this offering, after deducting the underwriting</w:t>
            </w:r>
          </w:p>
        </w:tc>
      </w:tr>
      <w:tr>
        <w:trPr>
          <w:trHeight w:val="216"/>
        </w:trPr>
        <w:tc>
          <w:tcPr>
            <w:tcW w:w="3900" w:type="dxa"/>
            <w:vAlign w:val="bottom"/>
          </w:tcPr>
          <w:p>
            <w:pPr>
              <w:spacing w:after="0"/>
              <w:rPr>
                <w:sz w:val="18"/>
                <w:szCs w:val="18"/>
                <w:color w:val="auto"/>
              </w:rPr>
            </w:pPr>
          </w:p>
        </w:tc>
        <w:tc>
          <w:tcPr>
            <w:tcW w:w="674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discounts and commissions and estimated offering expenses payable by us, to be</w:t>
            </w:r>
          </w:p>
        </w:tc>
      </w:tr>
      <w:tr>
        <w:trPr>
          <w:trHeight w:val="234"/>
        </w:trPr>
        <w:tc>
          <w:tcPr>
            <w:tcW w:w="3900" w:type="dxa"/>
            <w:vAlign w:val="bottom"/>
          </w:tcPr>
          <w:p>
            <w:pPr>
              <w:spacing w:after="0"/>
              <w:rPr>
                <w:sz w:val="20"/>
                <w:szCs w:val="20"/>
                <w:color w:val="auto"/>
              </w:rPr>
            </w:pPr>
          </w:p>
        </w:tc>
        <w:tc>
          <w:tcPr>
            <w:tcW w:w="14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xml:space="preserve">approximately $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4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million (or $            million if the underwriters exercise their</w:t>
            </w:r>
          </w:p>
        </w:tc>
      </w:tr>
    </w:tbl>
    <w:p>
      <w:pPr>
        <w:ind w:left="4340" w:right="140"/>
        <w:spacing w:after="0" w:line="253" w:lineRule="auto"/>
        <w:rPr>
          <w:sz w:val="20"/>
          <w:szCs w:val="20"/>
          <w:color w:val="auto"/>
        </w:rPr>
      </w:pPr>
      <w:r>
        <w:rPr>
          <w:rFonts w:ascii="Times New Roman" w:cs="Times New Roman" w:eastAsia="Times New Roman" w:hAnsi="Times New Roman"/>
          <w:sz w:val="18"/>
          <w:szCs w:val="18"/>
          <w:color w:val="auto"/>
        </w:rPr>
        <w:t>option to purchase additional ADSs in full). We intend to use the net proceeds from this offering, together with our existing cash and cash equivalents, to fund the development of our pipeline programs, including LB2501, and for working capital and other general corporate purposes. See “Use of Proceeds” for additional information.</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40"/>
          </w:cols>
          <w:pgMar w:left="320" w:top="455" w:right="6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222250</wp:posOffset>
            </wp:positionV>
            <wp:extent cx="6998970" cy="4152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4152900"/>
                    </a:xfrm>
                    <a:prstGeom prst="rect">
                      <a:avLst/>
                    </a:prstGeom>
                    <a:noFill/>
                  </pic:spPr>
                </pic:pic>
              </a:graphicData>
            </a:graphic>
          </wp:anchor>
        </w:drawing>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Lock-up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agreed with the underwriters not to sell, transfer or dispose of any ADSs, ordinary shares or similar securities for a period of 60 days after the date of this prospectus supplement, subject to certain exceptions. Our officers and directors and one of our shareholders have agreed with the underwriters not to sell, transfer or dispose of any ADSs, ordinary shares or similar securities for a period of 60 days after the date of this prospectus supplement, subject to certain exceptions. See “Underwriters.”</w:t>
      </w:r>
    </w:p>
    <w:p>
      <w:pPr>
        <w:spacing w:after="0" w:line="93"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Investing in our ADSs involves a high degree of risk. Please read the information contained in and incorporated by reference in this prospectus supplement under the heading “Risk Factors” beginning on page S-9 of this prospectus supplement before deciding whether to invest in our ADSs.</w:t>
      </w:r>
    </w:p>
    <w:p>
      <w:pPr>
        <w:spacing w:after="0" w:line="85"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The 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“LEGN”</w:t>
      </w:r>
    </w:p>
    <w:p>
      <w:pPr>
        <w:spacing w:after="0" w:line="20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39"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The number of ordinary shares that will be outstanding immediately after this offering is based on 371,479,583 ordinary shares outstanding as of March 31, 2026, and excludes:</w:t>
      </w:r>
    </w:p>
    <w:p>
      <w:pPr>
        <w:spacing w:after="0" w:line="67" w:lineRule="exact"/>
        <w:rPr>
          <w:sz w:val="20"/>
          <w:szCs w:val="20"/>
          <w:color w:val="auto"/>
        </w:rPr>
      </w:pPr>
    </w:p>
    <w:p>
      <w:pPr>
        <w:ind w:left="1240" w:right="20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3,311,676 ordinary shares issuable upon the exercise of options outstanding as of March 31, 2026, with a weighted average exercise price of $4.03 per ordinary share;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13,202,935 ordinary shares issuable upon the vesting of restricted share units outstanding as of March 31, 2026;</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3,804,644 ordinary shares available for future issuance under our Share Option Scheme as of March 31, 2026; and</w:t>
      </w:r>
    </w:p>
    <w:p>
      <w:pPr>
        <w:spacing w:after="0" w:line="130"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5,064,664 ordinary shares available for future issuance under our Amended and Restated Restricted Share Unit Incentive Plan as of March 31, 2026.</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Except as otherwise noted, the information in this prospectus supplement assumes the following:</w:t>
      </w:r>
    </w:p>
    <w:p>
      <w:pPr>
        <w:spacing w:after="0" w:line="131" w:lineRule="exact"/>
        <w:rPr>
          <w:sz w:val="20"/>
          <w:szCs w:val="20"/>
          <w:color w:val="auto"/>
        </w:rPr>
      </w:pPr>
    </w:p>
    <w:p>
      <w:pPr>
        <w:ind w:left="1240" w:hanging="415"/>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by the underwriters of their option to purchase additional ADSs;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outstanding options or vesting of the restricted share units described above.</w:t>
      </w:r>
    </w:p>
    <w:p>
      <w:pPr>
        <w:spacing w:after="0" w:line="34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40"/>
          </w:cols>
          <w:pgMar w:left="320" w:top="455" w:right="6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ADSs involves a high degree of risk. Before deciding whether to invest in our ADSs, you should consider carefully the risks described below and in the section “Item3.D-Risk Factors” of our Annual Report, which is incorporated by reference in this prospectus supplement and the accompanying prospectus in its entirety, together with the other information in this prospectus supplement, the accompanying prospectus, the documents incorporated by reference herein and therein, and any free writing prospectus prepared by or on behalf of us or to which we have referred you. Each of the risk factors could adversely affect our business, operating results and financial condition, as well as adversely affect the value of an investment in our ADSs, and the occurrence of any of these risks might cause you to lose all or part of your investment. Additional risks not presently known to us or that we currently believe are immaterial may also significantly impair our business operations.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17"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Genscript will continue to own a significant percentage of our ordinary shares and will be able to exert significant control over matters subject to shareholder approval.</w:t>
      </w:r>
    </w:p>
    <w:p>
      <w:pPr>
        <w:spacing w:after="0" w:line="5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Genscript is currently our largest shareholder and three of the eleven members of our Board are employees of Genscript. Upon the closing of this offering, GenScript will beneficially own approximately  % of the voting power of our outstanding share capital, or approximately   % if the underwriters exercise their option to purchase         additional ADSs in full. Therefore, Genscript has the ability to exert significant influence through this ownership position. For example, Genscript and its shareholders may be able to significantly influence elections of directors, issuance of equity, including to our employees under equity incentive plans, amendments of our organizational documents, or approval of any merger, amalgamation, sale of assets or other major corporate transaction. Genscript’s interests may not always coincide with our corporate interests or the interests of other shareholders, and it may exercise its voting and other rights in a manner with which you may not agree or that may not be in the best interests of our other shareholders. Further, there may be changes to the management or ownership of Genscript that could impact Genscript’s interests in a way that may not coincide with our corporate interests or the interests of other shareholders. So long as Genscript continues to own a significant amount of our equity, it will continue to be able to exert a significant level of influence over our decisions.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ADSs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ADSs in this offering, you will suffer immediate dilution of your investment.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public offering price of our ADSs is substantially higher than the as adjusted net tangible book value per ADS. Therefore, if you purchase ADSs in this offering, you will pay a price per ADS that substantially exceeds our as adjusted net tangible book value per ADS after this offering. Based on the public offering price of $        per ADS, you will experience immediate dilution of $        per ADS, representing the difference between our as adjusted net tangible book value per ADS as of March 31, 2026, after giving effect to this offering, and the public offering price per ADS. After this offering, we will also have outstanding options to purchase ordinary shares with exercise prices lower than the public offering price. To the extent any outstanding options are exercised, there will be further dilution to investors in this offering. For further information regarding the dilution resulting from this offering, see the section titled “Dilution” in this prospectus supplement.</w:t>
      </w:r>
    </w:p>
    <w:p>
      <w:pPr>
        <w:spacing w:after="0" w:line="293"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market in the near future. This could cause the market price of our ADSs to drop significantly, even if our business is doing well.</w:t>
      </w:r>
    </w:p>
    <w:p>
      <w:pPr>
        <w:spacing w:after="0" w:line="5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our ordinary shares or ADSs in the public market could occur at any time. If our shareholders sell, or the market perceives that our shareholders intend to sell, substantial amounts of our ordinary shares or ADSs in the public market following this offering, the market price of our ADSs could decline significantly.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All of our executive officers and directors and one of our shareholders are subject to lock-up agreements that restrict their ability to transfer shares of our share capital for 60 days from the date of this prospectus supplement. Upon completion of this offering, we will have outstanding ordinary shares, including ordinary shares represented by ADSs, based on the number of shares outstanding as of March 31, 2026. Of these shares, ordinary shares will be available for sale in the public market beginning 60 days after the date of this prospectus supplement following the expiration of lock-up agreements and the remaining ordinary shares will be freely tradable immediately, in each case subject to volume, manner of sale, holding period and other limitations of Rule 144. Morgan Stanley Asia Limited and Jefferies LLC may, in their sole discretion, permit our shareholders who are subject to these lock-up agreements to sell ordinary shares prior to the expiration of the lock-up agreements.</w:t>
      </w:r>
    </w:p>
    <w:p>
      <w:pPr>
        <w:spacing w:after="0" w:line="293"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proceeds from this offering and may invest or spend the proceeds in ways with which you do not agree and in ways that may not increase the value of your investment.</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our cash and cash equivalents, including the net proceeds from this offering, and could spend the proceeds in ways that do not improve our results of operations or enhance the value of our ADSs. The failure by our management to apply these funds effectively could result in financial losses that could have a negative impact on our business, cause the price of our ADSs to decline and delay the development of our product candidates and preclinical program. Pending their use, we may invest our cash and cash equivalents, including the net proceeds from this offering, in a manner that does not produce income or that loses value. See the section titled “Use of Proceeds” for additional information.</w:t>
      </w:r>
    </w:p>
    <w:p>
      <w:pPr>
        <w:spacing w:after="0" w:line="291"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holders, including purchasers of our ADSs in this offering, restrict our operations or require us to relinquish rights to our technologies or product candidates.</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Until such time, if ever, as we can generate substantial product revenue, we expect to finance our cash needs through any or a combination of securities offerings (including potential listings of our securities on other exchanges), debt financings, license and collaboration agreements and research grants. If we raise capital through securities offerings, such sales may also result in material dilution to our existing shareholders, and new investors could gain rights, preferences and privileges senior to the holders of our ADSs or ordinary shares, including ADSs sold in this offering.</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your ownership interest will be diluted, and the terms of these securities may include liquidation or other preferences that adversely affect your rights as a shareholder. Debt financing and preferred equity financing, if available, could result in fixed payment obligations, and we may be required to accept terms that restrict our ability to incur additional indebtedness, force us to maintain specified liquidity or other ratios or restrict our ability to pay dividends or make acquisitions.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If we are unable to raise additional funds through equity or debt financings when needed, we may be required to delay, limit, reduce or terminate our product development or future commercialization efforts or grant rights to a third party to develop and market product candidates that we would otherwise prefer to develop and market ourselves. Raising additional capital through any of these or other means could adversely affect our business and the holdings or rights of our shareholders, and may cause the market price of our ADSs to decline.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of our ADSs have fewer rights than our shareholders and must act through the depositary to exercise their rights.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Holders of our ADSs do not have the same rights as our shareholders and may only exercise their voting rights with respect to the underlying ordinary shares in accordance with the provisions of the deposit agreement. Holders of the ADSs will appoint the depositary or its nominee as their representative to exercise the voting rights attaching to the ordinary shares represented by the ADSs. When a general meeting is convened, if you hold ADSs, you may not receive sufficient notice of a shareholders’ meeting to permit you to withdraw the ordinary shares underlying your ADSs to allow you to vote with respect to any specific matter. We will make all commercially reasonable efforts to cause the depositary to extend voting rights to you in a timely manner, but we cannot assure you that you will receive voting materials in time to instruct the depositary to vote, and it is possible that you,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you may not be able to exercise your right to vote and you may lack recourse if your ADSs are not voted as you request. In addition, in your capacity as an ADS holder, you will not be able to call a shareholders’ meeting.</w:t>
      </w:r>
    </w:p>
    <w:p>
      <w:pPr>
        <w:spacing w:after="0" w:line="298"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not receive distributions on our ordinary shares represented by the ADSs or any value for them if it is illegal or impractical to make them available to holders of ADSs.</w:t>
      </w:r>
    </w:p>
    <w:p>
      <w:pPr>
        <w:spacing w:after="0" w:line="5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Although we do not have any present plans to declare or pay any dividends on our ordinary shares after this offering, in the event we declare and pay any dividends, 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register under U.S. securities laws any offering of ADSs, ordinary shares or other securities received through such distributions. We also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impractical to make them available to you. These restrictions may have an adverse effect on the value of your ADSs.</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Your right to participate in any future rights offerings may be limited, which may cause dilution to your holdings.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or an exemption from the registration requirements is available. Also, under the deposit agreement, the depositary bank will not make rights available to you unless either both the rights and any related securities are registered under the Securities Act, or the distribution of them to ADS holders is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If the depositary does not distribute the rights, it may, under the deposit agreement, either sell them, if possible, or allow them to lapse. Accordingly, you may be unable to participate in our rights offerings and may experience dilution in your holdings.</w:t>
      </w:r>
    </w:p>
    <w:p>
      <w:pPr>
        <w:spacing w:after="0" w:line="296"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ADSs in the foreseeable future, capital appreciation, if any, will be your sole source of gains and you may never receive a return on your investment.</w:t>
      </w:r>
    </w:p>
    <w:p>
      <w:pPr>
        <w:spacing w:after="0" w:line="5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have never declared or paid a dividend on our ordinary shares in the past, and we currently intend to retain our future earnings, if any, to fund the development and growth of our business. Therefore, you should not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rely on an investment in our ADSs to provide dividend income. Our board of directors has complete discretion as to whether to distribute dividends, subject to certain restrictions under Cayman Islands law, namely that our company may only pay dividends out of profits or out of the credit standing in our company’s share premium account, and provided always that in no circumstances may a dividend be paid if this would result in our company being unable to pay its debts as they fall due in the ordinary course of business. In addition, our shareholders may, subject to our third amended and restated memorandum and articles of association,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As a result, capital appreciation, if any, on our ADSs will be your sole source of gains for the foreseeable future. Investors seeking cash dividends should not purchase our ADSs in this offering.</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approval or other requirements of the China Securities Regulatory Commission or other governmental authority may be required.</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On August 8, 2006, six PRC regulatory agencies, including the CSRC, promulgated the Provisions on the Merger or Acquisition of Domestic Enterprises by Foreign Investors, or the M&amp;A rules, which became effective on September 8, 2006 and was amended on June 22, 2009. The M&amp;A rules, among other things, requires offshore SPVs formed for the purpose of an overseas listing and controlled by PRC companies or individuals, to obtain the CSRC approval prior to listing their securities on an overseas stock exchange. The application of the M&amp;A rules remains unclear. Our PRC legal counsel has advised us that, based on their understanding of the current PRC laws and regulations, the CSRC approval was not required under the M&amp;A rules in the context of this offering because the ownership structure of our PRC subsidiaries was established by direct investment instead of through acquisition of equity interests or assets of any PRC domestic company by foreign entities as defined under the M&amp;A rules.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However, we have been advised by our PRC legal counsel that there are uncertainties regarding the interpretation and application of the PRC laws and regulations, and there can be no assurance that the PRC governments will ultimately take a view that is not contrary to the above opinion of our PRC legal counsel. Furthermore, the Opinions on Strictly Cracking Down on Illegal Securities Activities emphasized the need to strengthen the supervision on overseas listings by China-based companies and provided that the special provisions of the State Council on overseas issuance and listing of shares by those companies limited by shares will be revised. There are still uncertainties regarding the interpretation and implementation of these Opinions, and further explanations or detailed rules and regulations with respect to these Opinions may be issued in the future which could impose additional requirements on us.</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February 17, 2023, the CSRC released the Trial Administrative Measures of Overseas Securities Offering and Listing by Domestic Companies (the “Overseas Listing Trial Measures”), which came into effect on March 31, 2023. Pursuant to the Overseas Listing Trial Measures, (i) PRC domestic companies that seek to offer or list equity securities overseas, both directly and indirectly, should fulfill the filing procedure and report relevant information to the CSRC; (ii) if a company outside of the PRC satisfies both of the following conditions, its offering and listing outside of the PRC will be deemed an indirect offering by a PRC domestic company: i) more than 50% of such overseas company’s consolidated revenues, total profit, total assets or net assets that are derived from its audited consolidated financial statements for the most recently completed fiscal year are attributable to PRC domestic companies, and ii) any of the following circumstances applies: key components of its operations are carried out in the PRC; its principal places of business are located in the PRC; or the majority of the senior management members in charge of operation and management are PRC citizens or residents. The determination will be made on the basis of “substance over form”; and (iii) where a PRC domestic company seeks to indirectly offer and list securities in a market outside of the PRC, such company is required to designate a major domestic operating entity responsible for all filing procedures with the CSRC; where a company makes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an application for initial public offerings or listings in a market outside of the PRC, such company is required to submit filings with the CSRC within three business days after such application is submitted, and where an issuer conducts follow-on offerings in the same market outside of the PRC where it has previously offered and listed securities, the issuer shall submit filings with the CSRC within three business days after the follow-on offering is completed. If a PRC domestic company fails to complete the filing procedure or conceals any material fact or falsifies any major content in its filing documents, such PRC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However, since the Overseas Listing Trial Measures was newly promulgated, the interpretation, application and enforcement of the Overseas Listing Trial Measures remain unclear. It remains uncertain whether the filing requirements under the Overseas Listing Trial Measures are applicable to securities offerings by us. If the filing procedure with the CSRC under the Overseas Listing Trial Measures is required for any future follow-on offerings or any other capital raising activities by us, it is uncertain whether we can or how long it will take us to obtain such approval or complete such filing procedures. Given the substantial uncertainties surrounding the latest CSRC filing requirements at this stage, we cannot assure you that we will be able to complete the filings and fully comply with the relevant new rules on a timely basis, if at all.</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we cannot guarantee that any new rules or regulations promulgated in the future will not impose any additional requirements on us. If it is determined that we are subject to any CSRC approval, filing or other governmental authorization or requirements for this offering, we cannot assure you that we could obtain such approval or meet such requirements in a timely manner or at all. Such failure may subject us to fines, penalties or other sanctions which may have a material adverse effect on our business and financial conditions as well as our ability to complete this offering.</w:t>
      </w:r>
    </w:p>
    <w:p>
      <w:pPr>
        <w:spacing w:after="0" w:line="284"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Chinese economy differs from other countries in many respects, including a higher level of government involvement, and the ongoing development of a market-oriented economy.</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While the PRC economy has experienced significant growth since the late 1970s, growth has been uneven, both geographically and among various sectors of the economy. The PRC government has implemented various measures to encourage economic growth and guide the allocation of resources. These measures are intended to benefit the overall PRC economy, but may also have a negative effect on us. For example, our business, financial condition and results of operations could be adversely affected by PRC government control over capital investments or changes in regulations that are applicable to us.</w:t>
      </w:r>
    </w:p>
    <w:p>
      <w:pPr>
        <w:spacing w:after="0" w:line="183"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PRC economy has been transitioning from a centrally planned economy to a more market-oriented economy. Although the PRC government has implemented measures since the late 1970s that emphasize the utilization of market forces for economic reform, the PRC government continues to play a significant role in regulating industry development by imposing industrial policies.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PRC legal system contains uncertainties, which could limit the legal protections available to you and to us.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1979, the PRC government began to promulgate a comprehensive system of laws and regulations governing economic matters in general. The overall effect of legislation over the past four decades has significantly enhanced the protections afforded to various forms of foreign investment in China. Our PRC subsidiaries are subject to laws and regulations applicable to foreign-invested enterprises in China. In particular, they are subject to PRC laws, rules and regulations governing foreign companies’ ownership and operation of pharmaceutical businesses. Such laws and regulations are subject to change, and their interpretation and enforcement involve uncertainties, which could limit the legal protections available to us and our investors. In addition, we cannot predict the effect of future developments in the PRC legal system, including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promulgation of new laws, changes to existing laws or the interpretation or enforcement of such laws, or the preemption of local regulations by PRC laws, rules and regulations.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Moreover, the PRC legal system is a civil law system based on written statutes. Unlike the common law system, prior court decisions may be cited for reference but have limited precedential value. Recently enacted laws, rules and regulations may not sufficiently cover all aspects of economic activities in China or may be subject to a significant degree of interpretation by PRC regulatory agencies and courts. In particular, because these laws, rules and regulations are relatively new, and because of the limited number of published decisions and the non-precedential nature of these decisions, and because the laws, rules and regulations often give the relevant regulator significant discretion in how to enforce them, the interpretation and enforcement of these laws, rules and regulations involve uncertainties. Therefore, it is possible that our existing operations may be found not to be in full compliance with relevant laws and regulations in the future.</w:t>
      </w:r>
    </w:p>
    <w:p>
      <w:pPr>
        <w:spacing w:after="0" w:line="18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addition, the PRC government has announced its plans to enhance its regulatory oversight of PRC companies listing outside of the PRC. The Opinions on Strictly Cracking Down on Illegal Securities Activities issued on July 6, 2021 called for:</w:t>
      </w:r>
    </w:p>
    <w:p>
      <w:pPr>
        <w:spacing w:after="0" w:line="67" w:lineRule="exact"/>
        <w:rPr>
          <w:sz w:val="20"/>
          <w:szCs w:val="20"/>
          <w:color w:val="auto"/>
        </w:rPr>
      </w:pPr>
    </w:p>
    <w:p>
      <w:pPr>
        <w:ind w:left="1080" w:right="30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tightening oversight of data security, cross-border data flow and administration of classified information, as well as amendments to relevant regulation to specify responsibilities of PRC companies listed outside of the PRC with respect to data security and information security;</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oversight of companies listed outside of the PRC as well as equity fundraising and listing by PRC companies outside of the PRC;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extraterritorial application of China’s securities laws.</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the Opinions on Strictly Cracking Down on Illegal Securities Activities were recently issued, there are great uncertainties with respect to the interpretation and implementation thereof. The PRC government may promulgate relevant laws, rules and regulations that may impose additional and significant obligations and liabilities on Chinese companies listed outside of the PRC regarding data security, cross-border data flow, and compliance with China’s securities laws. It is uncertain whether or how these new laws, rules and regulations and the interpretation and implementation thereof may affect us, but among other things, our ability to obtain external financing through the issuance of equity securities outside of the PRC could be negatively affected.</w:t>
      </w:r>
    </w:p>
    <w:p>
      <w:pPr>
        <w:spacing w:after="0" w:line="291"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governmental authorities may take measures having influence on our operations, which could result in a material change in our operations and significantly and adversely impact the value of our ADSs.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PRC government may take measures having influence on our operations as the government deems appropriate to further regulatory, political and societal goals. 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require us to seek permission from PRC authorities to continue to operate our business in the PRC, which could adversely affect our business, financial condition and results of operations, as well as adversely impact the value of the ADSs, causing them to significantly decline in value. Furthermore, recent statements made by the PRC government have indicated an intent to increase the government’s oversight and control over offerings of companies with operations in China that are to be conducted in foreign markets, as well as foreign investment in issuers with operations in China like us. Any such action, once taken by the PRC government, could result in action taken by the PRC against our PRC subsidiaries and could significantly limit, delay or hinder our ability to offer or continue to offer securities to investors, or cause the value of such securities to significantly decline.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or become classified as a passive foreign investment company, our U.S. shareholders may suffer adverse tax consequences as a result.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are characterized as a passive foreign investment company (“PFIC”) our U.S. shareholders may suffer adverse tax consequences, including having gains realized on the sale of our ordinary shares or ADSs treated as ordinary income, rather than capital gain, the loss of the preferential rate applicable to dividends received on our ordinary shares or ADSs by individuals who are U.S. Holders (as defined under “Material Income Tax Considerations—Material U.S. Federal Income Tax Consequences to U.S. Holders”), and having interest charges apply to distributions by us and gains from the sales of our shares or ADSs. Generally, for any taxable year, if at least 75% of our gross income is passive income, or at least 50% of the value of our assets is attributable to assets that produce passive income or are held for the production of passive income, including cash, we would be characterized as a PFIC for U.S. federal income tax purposes. For purposes of these tests, passive income includes dividends, interest gains from commodities and securities transactions, the excess of gains over losses from the disposition of assets which produce passive income (including amounts derived by reason of the temporary investment of funds raised in offerings of our shares) and rents and royalties other than certain rents and royalties which are received from unrelated parties in connection with the active conduct of a trade or business.</w:t>
      </w:r>
    </w:p>
    <w:p>
      <w:pPr>
        <w:spacing w:after="0" w:line="19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status as a PFIC will depend on the nature and composition of our income and the nature, composition and value of our assets (which may be determined based on the fair market value of each asset, with the value of goodwill and going concern value determined in large part by reference to the market value of our ADSs, which may be volatile). Our status may also depend, in part, on how quickly we utilize the cash proceeds from this offering and other fundraising activities in our business. Based on our operating history and the composition of our income and valuation of our assets, including goodwill, we do not believe we were a PFIC for our taxable year ended December 31, 2025. Even if we determine that we are not a PFIC for a taxable year, there can be no assurance that the U.S. Internal Revenue Service (the “IRS”), will agree with our conclusion and that the IRS would not successfully challenge our position. Because the determination of whether we are a PFIC for any taxable year is a factual determination made annually after the end of each taxable year, there can be no assurance that we will or will not be considered a PFIC in any taxable year including the current taxable year. Accordingly, our U.S. counsel expresses no opinion with respect to our PFIC status for our taxable year ended December 31, 2025 or any future taxable year.</w:t>
      </w:r>
    </w:p>
    <w:p>
      <w:pPr>
        <w:spacing w:after="0" w:line="19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tax consequences that would apply if we are classified as a PFIC would also be different from those described above if a U.S. Holder were able to make a valid qualified electing fund (“QEF”) election. At this time, we do not expect to provide U.S. Holders with the information necessary for a U.S. Holder to make a QEF election. Prospective investors should assume that a QEF election will not be available.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changes to tax laws could materially adversely affect our company and reduce net returns to our shareholders.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tax treatment of the company is subject to changes in tax laws, regulations and treaties, or the interpretation thereof, tax policy initiatives and reforms under consideration and the practices of tax authorities in jurisdictions in which we operate. Many of the countries in which we do business have already adopted or are expected to adopt changes in tax laws, including as a result of the Base Erosion and Profit Shifting Project of the Organisation for Economic Co-operation and Development (“OECD”), the European Commission’s state aid investigations and other initiatives. Such changes may include (but are not limited to) the taxation of operating income, investment income, dividends received or (in the specific context of withholding tax) dividends paid. The OECD has published a package of measures for reform as a product of the Base Erosion and Profit Shifting Project, which include the reallocation of global profits of large multinational companies to market jurisdictions based on customer location as well as the introduction of a global minimum tax. Many of the package’s proposed measures require amendments to the domestic tax legislation of various jurisdictions. In the United States, the Inflation Reduction Act of 2022 imposes, among other rules, a 15% minimum tax on the book income of certain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large corporations and a 1% excise tax on certain corporate stock repurchases.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284" w:lineRule="exact"/>
        <w:rPr>
          <w:sz w:val="20"/>
          <w:szCs w:val="20"/>
          <w:color w:val="auto"/>
        </w:rPr>
      </w:pPr>
    </w:p>
    <w:p>
      <w:pPr>
        <w:ind w:left="120"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which could result in increased tax liabilities. For example, the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from the sale of        ADSs in this offering will be approximately $        million, after deducting the underwriting discounts and commissions and estimated offering expenses payable by us. If the underwriters exercise their option to purchase additional ADSs in full, we estimate that the net proceeds to us from this offering will be approximately $        million, after deducting the underwriting discounts and commissions and estimated offering expenses payable by us.</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principal purposes of this offering are to obtain additional capital to support our operations and facilitate our future access to the public capital markets.</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our existing cash and cash equivalents, to fund the development of our pipeline programs, including LB2501, and for working capital and other general corporate purposes.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expect that net proceeds to us from this offering, assuming no exercise by the underwriters of their option to purchase additional ADSs and after deducting underwriting discounts and commissions and estimated offering expenses payable by us, combined with our cash and cash equivalents as of March 31, 2026, will be approximately $        million. Based on our current operating plan, we believe that the net proceeds to us from this offering, together with our existing cash and cash equivalents, will enable us to fund our planned operating expenses and capital expenditures through the        quarter of        . We have based this estimate on assumptions that may prove to be incorrect, and we may use our available capital resources sooner than we currently expect. We anticipate needing to raise additional capital to complete the development of and commercialize product candidates in our pipeline. It is difficult to predict the cost and timing required to complete development and obtain regulatory approval of, and commercialize, our product candidates due to, among other factors, the relatively short history of our experience with initiating, conducting and completing clinical trials, obtaining regulatory approval and commercializing our product candidates, the rate of subject enrollment in our clinical trials, filing requirements with various regulatory agencies, clinical trial results and the actual costs of manufacturing and supplying our product candidates.</w:t>
      </w:r>
    </w:p>
    <w:p>
      <w:pPr>
        <w:spacing w:after="0" w:line="194" w:lineRule="exact"/>
        <w:rPr>
          <w:sz w:val="20"/>
          <w:szCs w:val="20"/>
          <w:color w:val="auto"/>
        </w:rPr>
      </w:pPr>
    </w:p>
    <w:p>
      <w:pPr>
        <w:jc w:val="both"/>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expected use of the net proceeds from this offering represents our intentions based upon our current plans and business conditions. As of the date of this prospectus supplement, we cannot predict with certainty all of the particular uses for the net proceeds to be received upon the completion of this offering or the amounts that we will actually spend on the uses set forth above. We believe that opportunities may exist from time to time to expand our current business through licenses with or acquisitions of, or investments in, complementary businesses, products or technologies, and we may use a portion of the net proceeds for these purposes.</w:t>
      </w:r>
    </w:p>
    <w:p>
      <w:pPr>
        <w:spacing w:after="0" w:line="183"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management will have broad discretion over the use of the net proceeds from this offering. The amounts and timing of our expenditures will depend upon numerous factors, including the results of our research and development efforts, the timing, cost and success of preclinical studies and any ongoing clinical trials or clinical trials we may commence in the future, the timing of regulatory submissions, our ability to obtain additional financing, the amount of cash obtained through our existing collaborations and future collaborations, if any, and any unforeseen cash needs.</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Pending any use described above, we intend to invest the net proceeds of this offering in short- and intermediate-term interest-bearing obligations, investment-grade instruments, certificates of deposit or direct or guaranteed obligations of the U.S. government.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board of directors has discretion on whether to distribute dividends, subject to the third amended and restated memorandum and articles of association of our company and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the credit standing in our company’s share premium account, and provided always that in no circumstances may a dividend be paid if this would result in our company being unable to pay its debts as they fall due in the ordinary course of business immediately following the date on which the distribution or dividend is paid.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do not have any present plan to pay any cash dividends on our ordinary shares in the foreseeable future after this offering. We currently intend to retain most, if not all, of our available funds and any future earnings to operate and expand our business.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pay any dividends on our ordinary shares, we will pay those dividends, which are payable in respect of the ordinary shares underlying the ADSs to the depositary, as the registered holder of such ordinary shares, and the depositary then will pay such amounts to our ADS holders in proportion to the ordinary shares underlying the ADSs held by such ADS holders, subject to the terms of the deposit agreement, including the fees and expenses payable thereunder. See “Description of American Depositary Shares” of the accompanying prospectus. Cash dividends on our ordinary shares, if any, will be paid in U.S. dollars.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you invest in the ADSs, your interest will be diluted to the extent of the difference between the public offering price per ADS and our net tangible book value per ADS after this offering. Dilution results from the fact that the public offering price per ordinary share is substantially in excess of the book value per ordinary share attributable to the existing shareholders for our presently outstanding ordinary shares.</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historical net tangible book value as of March 31, 2026 was $966.0 million, or $2.61 per ordinary share (equivalent to $5.22 per ADS). Historical net tangible book value represents the amount of our total consolidated tangible assets, less the amount of our total consolidated liabilities. Dilution is determined by subtracting historical net tangible book value per ordinary share or ADS, as applicable, after giving effect to the additional proceeds we will receive from this offering, from the public offering price of $        per ADS, and after deducting the underwriting discounts and commissions and estimated offering expenses payable by us.</w:t>
      </w:r>
    </w:p>
    <w:p>
      <w:pPr>
        <w:spacing w:after="0" w:line="183"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After giving effect to the sale of        ADSs in this offering at the public offering price of $        per ADS, after deducting the underwriting discounts and commissions and estimated offering expenses payable by us (assuming the underwriters do not exercise their option to</w:t>
      </w:r>
    </w:p>
    <w:p>
      <w:pPr>
        <w:ind w:left="120" w:right="20"/>
        <w:spacing w:after="0" w:line="250" w:lineRule="auto"/>
        <w:rPr>
          <w:sz w:val="20"/>
          <w:szCs w:val="20"/>
          <w:color w:val="auto"/>
        </w:rPr>
      </w:pPr>
      <w:r>
        <w:rPr>
          <w:rFonts w:ascii="Times New Roman" w:cs="Times New Roman" w:eastAsia="Times New Roman" w:hAnsi="Times New Roman"/>
          <w:sz w:val="18"/>
          <w:szCs w:val="18"/>
          <w:color w:val="auto"/>
        </w:rPr>
        <w:t>purchase additional ADSs), our as adjusted net tangible book value as of March 31, 2026 would have been $        million, or $        per ordinary share (equivalent to $        per ADS). This represents an immediate further increase in net tangible book value of $        per ADS to our existing shareholders and an immediate dilution in net tangible book value of $        per ADS to investors purchasing ADSs in this offering.</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illustrates such dilution:</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Historical net tangible book value per ADS as of March 31, 2026</w:t>
            </w:r>
          </w:p>
        </w:tc>
        <w:tc>
          <w:tcPr>
            <w:tcW w:w="118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$5.22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64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Increase in as adjusted net tangible book value per ADS attributable to investors</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6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purchasing ADSs in this offering as of March 31, 2026</w:t>
            </w:r>
          </w:p>
        </w:tc>
        <w:tc>
          <w:tcPr>
            <w:tcW w:w="3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ADS after this offering</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to investors in this offering per ADS as of March 31, 2026</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6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the underwriters exercise their option to purchase additional ADSs in full, the as adjusted net tangible book value as of March 31, 2026 would have been $        per ADS, the increase in as adjusted net tangible book value attributable to investors in this offering would have been $        per ADS, and the immediate dilution in net tangible book value to investors in this offering would have been $        per ADS.</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number of ordinary shares outstanding in the table above is based on 371,479,583 ordinary shares outstanding as of March 31, 2026 on an actual basis, and excludes:</w:t>
      </w:r>
    </w:p>
    <w:p>
      <w:pPr>
        <w:spacing w:after="0" w:line="67" w:lineRule="exact"/>
        <w:rPr>
          <w:sz w:val="20"/>
          <w:szCs w:val="20"/>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3,311,676 ordinary shares issuable upon the exercise of options outstanding as of March 31, 2026, with a weighted average exercise price of $4.03 per ordinary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13,202,935 ordinary shares issuable upon the vesting of restricted share units outstanding as of March 31,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3,804,644 ordinary shares available for future issuance under our Share Option Scheme as of March 31, 2026; and</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5,064,664 ordinary shares available for future issuance under our Amended and Restated Restricted Share Unit Incentive Plan as of March 31, 2026.</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000"/>
          </w:cols>
          <w:pgMar w:left="320" w:top="455" w:right="5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the extent that any outstanding options are exercised or new options are issued under the equity benefit plans, or we issue additional ordinary shares or other securities convertible into or exercisable or exchangeable for ordinary shares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shareholders.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UNDERWRITERS</w:t>
      </w:r>
    </w:p>
    <w:p>
      <w:pPr>
        <w:spacing w:after="0" w:line="22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supplement, the underwriters named below, for whom Morgan Stanley Asia Limited, Jefferies LLC and Citigroup Global Markets Inc. are acting as representatives (the “representatives”), have severally agreed to purchase, and we have agreed to sell to them, severally, the number of ADSs indicated below:</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3"/>
        </w:trPr>
        <w:tc>
          <w:tcPr>
            <w:tcW w:w="6720" w:type="dxa"/>
            <w:vAlign w:val="bottom"/>
            <w:vMerge w:val="continue"/>
          </w:tcPr>
          <w:p>
            <w:pPr>
              <w:spacing w:after="0"/>
              <w:rPr>
                <w:sz w:val="15"/>
                <w:szCs w:val="15"/>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ADSs</w:t>
            </w:r>
          </w:p>
        </w:tc>
        <w:tc>
          <w:tcPr>
            <w:tcW w:w="0" w:type="dxa"/>
            <w:vAlign w:val="bottom"/>
          </w:tcPr>
          <w:p>
            <w:pPr>
              <w:spacing w:after="0"/>
              <w:rPr>
                <w:sz w:val="1"/>
                <w:szCs w:val="1"/>
                <w:color w:val="auto"/>
              </w:rPr>
            </w:pPr>
          </w:p>
        </w:tc>
      </w:tr>
      <w:tr>
        <w:trPr>
          <w:trHeight w:val="209"/>
        </w:trPr>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Asia Limited</w:t>
            </w: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ADSs subject to their acceptance of the ADSs from us and subject to prior sale. The underwriting agreement provides that the obligations of the several underwriters to pay for and accept delivery of the ADSs offered by this prospectus supplement are subject to the approval of certain legal matters by their counsel and to certain other conditions. The underwriters are obligated to take and pay for all of the ADSs offered by this prospectus supplement if any such ADSs are taken. However, the underwriters are not required to take or pay for the ADSs covered by the underwriters’ option to purchase additional shares described below.</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underwriters initially propose to offer part of the ADSs directly to the public at the offering price listed on the cover page of this prospectus supplement and part to certain dealers at a price that represents a concession not in excess of $        per ADS under the public offering price. After the initial offering of the ADSs, the offering price and other selling terms may from time to time be varied by the representatives.</w:t>
      </w:r>
    </w:p>
    <w:p>
      <w:pPr>
        <w:spacing w:after="0" w:line="176"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supplement, to purchase up to         additional ADSs from us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ADSs as the number listed next to the underwriter’s name in the preceding table bears to the total number of ADSs listed next to the names of all underwriters in the preceding table.</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shows the per ADS and total public offering price, underwriting discounts and commissions, and proceeds before expenses to us. These amounts are shown assuming both no exercise and full exercise of the underwriters’ option to purchase up to an additional         ADSs from us.</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5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 Exercise</w:t>
            </w:r>
          </w:p>
        </w:tc>
        <w:tc>
          <w:tcPr>
            <w:tcW w:w="1320" w:type="dxa"/>
            <w:vAlign w:val="bottom"/>
            <w:gridSpan w:val="3"/>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Full Exercise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price to public</w:t>
            </w:r>
          </w:p>
        </w:tc>
        <w:tc>
          <w:tcPr>
            <w:tcW w:w="18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250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500" w:type="dxa"/>
            <w:vAlign w:val="bottom"/>
            <w:gridSpan w:val="2"/>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        . We have agreed to reimburse the underwriters for expense relating to clearance of this offering with the Financial Industry Regulatory Authority up to $20,000.</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ADSs are listed on the Nasdaq Global Select Market under the symbol “LEGN.”</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have agreed that, without the prior written consent of Morgan Stanley Asia Limited and Jefferies LLC on behalf of the underwriters, we will not, and will not publicly disclose an intention to, during the period ending 60 days after the date of this prospectus supplement (the “restricted period”) subject to certain exceptions: (1) offer, pledge, sell, contract to sell, sell any option or contract to purchase, purchase any option or contract to sell, grant any option, right or warrant to purchase, lend or otherwise transfer or dispose of, directly or indirectly, any of our ordinary shares or ADSs or any securities convertible into or exercisable or exchangeable for our ordinary shares or ADSs; (2) enter into any swap or other arrangement that transfers to another, in whole or in part, any of the economic consequences of ownership of our ordinary shares or ADSs, whether any such transaction described in clause (1) or (2) above is to be settled by delivery of our ordinary shares or ADSs or such other securities, in cash or otherwise; or (3) file any registration statement with the SEC relating to the offering of any of our ordinary shares or ADSs or any securities convertible into or exercisable or exchangeable for our ordinary shares or ADSs.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in certain circumstances, including:</w:t>
      </w:r>
    </w:p>
    <w:p>
      <w:pPr>
        <w:spacing w:after="0" w:line="117" w:lineRule="exact"/>
        <w:rPr>
          <w:sz w:val="20"/>
          <w:szCs w:val="20"/>
          <w:color w:val="auto"/>
        </w:rPr>
      </w:pPr>
    </w:p>
    <w:p>
      <w:pPr>
        <w:ind w:left="380" w:hanging="264"/>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ADSs and the ordinary shares represented by such ADSs in this offering;</w:t>
      </w:r>
    </w:p>
    <w:p>
      <w:pPr>
        <w:spacing w:after="0" w:line="225" w:lineRule="exact"/>
        <w:rPr>
          <w:rFonts w:ascii="Times New Roman" w:cs="Times New Roman" w:eastAsia="Times New Roman" w:hAnsi="Times New Roman"/>
          <w:sz w:val="18"/>
          <w:szCs w:val="18"/>
          <w:color w:val="auto"/>
        </w:rPr>
      </w:pPr>
    </w:p>
    <w:p>
      <w:pPr>
        <w:ind w:left="120" w:right="300" w:hanging="4"/>
        <w:spacing w:after="0" w:line="282" w:lineRule="auto"/>
        <w:tabs>
          <w:tab w:leader="none" w:pos="3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ordinary shares or ADSs upon the exercise of an option or warrant or the conversion of a security outstanding on the date of this prospectus supplement;</w:t>
      </w:r>
    </w:p>
    <w:p>
      <w:pPr>
        <w:spacing w:after="0" w:line="161" w:lineRule="exact"/>
        <w:rPr>
          <w:rFonts w:ascii="Times New Roman" w:cs="Times New Roman" w:eastAsia="Times New Roman" w:hAnsi="Times New Roman"/>
          <w:sz w:val="18"/>
          <w:szCs w:val="18"/>
          <w:color w:val="auto"/>
        </w:rPr>
      </w:pPr>
    </w:p>
    <w:p>
      <w:pPr>
        <w:ind w:left="120" w:right="60" w:hanging="4"/>
        <w:spacing w:after="0" w:line="258" w:lineRule="auto"/>
        <w:tabs>
          <w:tab w:leader="none" w:pos="3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options, restricted stock units or any other type of equity award described in this prospectus supplement, or the issuance of our ordinary shares or ADSs by us (whether upon the exercise of stock options or otherwise) to our employees, officers, directors, advisors or consultants pursuant to employee benefit plans in effect on the date of this prospectus supplement and described in this prospectus supplement; provided that each recipient of ordinary shares, ADSs or any securities convertible into or exercisable or exchangeable for ordinary shares pursuant to this clause (3) shall execute a lock-up agreement with respect to the remaining portion of the restricted period;</w:t>
      </w:r>
    </w:p>
    <w:p>
      <w:pPr>
        <w:spacing w:after="0" w:line="183" w:lineRule="exact"/>
        <w:rPr>
          <w:rFonts w:ascii="Times New Roman" w:cs="Times New Roman" w:eastAsia="Times New Roman" w:hAnsi="Times New Roman"/>
          <w:sz w:val="18"/>
          <w:szCs w:val="18"/>
          <w:color w:val="auto"/>
        </w:rPr>
      </w:pPr>
    </w:p>
    <w:p>
      <w:pPr>
        <w:ind w:left="120" w:right="420" w:hanging="4"/>
        <w:spacing w:after="0" w:line="282" w:lineRule="auto"/>
        <w:tabs>
          <w:tab w:leader="none" w:pos="3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by us of a registration statement on Form S-8 relating to the issuance, vesting, exercise or settlement of equity awards granted or to be granted pursuant to any employee benefit plan in effect on the date of this prospectus supplement and described in this prospectus supplement;</w:t>
      </w:r>
    </w:p>
    <w:p>
      <w:pPr>
        <w:spacing w:after="0" w:line="161" w:lineRule="exact"/>
        <w:rPr>
          <w:rFonts w:ascii="Times New Roman" w:cs="Times New Roman" w:eastAsia="Times New Roman" w:hAnsi="Times New Roman"/>
          <w:sz w:val="18"/>
          <w:szCs w:val="18"/>
          <w:color w:val="auto"/>
        </w:rPr>
      </w:pPr>
    </w:p>
    <w:p>
      <w:pPr>
        <w:ind w:left="120" w:hanging="4"/>
        <w:spacing w:after="0" w:line="258" w:lineRule="auto"/>
        <w:tabs>
          <w:tab w:leader="none" w:pos="3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a shareholder, officer or director of the Company pursuant to Rule 10b5-1 under the Exchange Act for the transfer of ordinary shares or ADSs, provided that (i) such plan does not provide for the transfer of ordinary shares or ADSs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ordinary shares or ADSs may be made under such plan during the restricted period; or</w:t>
      </w:r>
    </w:p>
    <w:p>
      <w:pPr>
        <w:spacing w:after="0" w:line="183" w:lineRule="exact"/>
        <w:rPr>
          <w:rFonts w:ascii="Times New Roman" w:cs="Times New Roman" w:eastAsia="Times New Roman" w:hAnsi="Times New Roman"/>
          <w:sz w:val="18"/>
          <w:szCs w:val="18"/>
          <w:color w:val="auto"/>
        </w:rPr>
      </w:pPr>
    </w:p>
    <w:p>
      <w:pPr>
        <w:ind w:left="120" w:right="20" w:hanging="4"/>
        <w:spacing w:after="0" w:line="254" w:lineRule="auto"/>
        <w:tabs>
          <w:tab w:leader="none" w:pos="3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issuance of or entry into an agreement to sell or issue ordinary shares, ADSs or any securities convertible into or exercisable or exchangeable for ordinary shares or ADSs in connection with one or more mergers; acquisitions of securities, businesses, property or other assets, products or technologies; joint ventures; commercial relationships or other strategic corporate transactions or alliances; provided that the aggregate amounts of ordinary shares, ADSs or any securities convertible into or exercisable or exchangeable for ordinary shares or ADSs (on an as-converted, as-exercised or as-exchanged basis) that we may sell or issue or agree to sell or issue pursuant to this clause (6) shall not exceed 10% of the total number of ordinary shares or ADSs of the Company issued and outstanding immediately following the completion of this offering determined on a fully-diluted basis, and provided further that each recipient of ordinary shares, ADSs or any securities convertible into or exercisable or exchangeable for ordinary shares or ADSs pursuant to this clause (6) shall execute a lock-up agreement with respect to the remaining portion of the restricted period.</w:t>
      </w:r>
    </w:p>
    <w:p>
      <w:pPr>
        <w:spacing w:after="0" w:line="19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Each of our directors, executive officers and one of our shareholders have agreed that, without the prior written consent of Morgan Stanley Asia Limited and Jefferies LLC on behalf of the underwriters, it will not,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will not publicly disclose an intention to, during the period ending 60 days after the date of this prospectus supplement, (1) offer, pledge, sell, contract to sell, sell any option or contract to purchase, purchase any option or contract to sell, grant any option, right or warrant to purchase, lend or otherwise transfer or dispose of, directly or indirectly, any of our ordinary shares or ADSs or any securities convertible into or exercisable or exchangeable for our ordinary shares or ADSs; (2) enter into any swap or other arrangement that transfers to another, in whole or in part, any of the economic consequences of ownership of our ordinary shares or ADSs, whether any such transaction described in clause (1) or (2) above is to be settled by delivery of our ordinary shares or ADSs or such other securities, in cash or otherwise.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in certain circumstances, including:</w:t>
      </w:r>
    </w:p>
    <w:p>
      <w:pPr>
        <w:spacing w:after="0" w:line="117" w:lineRule="exact"/>
        <w:rPr>
          <w:sz w:val="20"/>
          <w:szCs w:val="20"/>
          <w:color w:val="auto"/>
        </w:rPr>
      </w:pPr>
    </w:p>
    <w:p>
      <w:pPr>
        <w:ind w:left="120" w:right="160" w:hanging="4"/>
        <w:spacing w:after="0" w:line="266" w:lineRule="auto"/>
        <w:tabs>
          <w:tab w:leader="none" w:pos="3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our ordinary shares or ADSs or other securities acquired in this offering or in open market transactions after the completion of this offering, provided that no filing under Section 16(a) of the Exchange Act or any other public filing or disclosure reporting a reduction in beneficial ownership of ordinary shares or ADSs shall be required or voluntarily made during the restricted period;</w:t>
      </w:r>
    </w:p>
    <w:p>
      <w:pPr>
        <w:spacing w:after="0" w:line="175" w:lineRule="exact"/>
        <w:rPr>
          <w:rFonts w:ascii="Times New Roman" w:cs="Times New Roman" w:eastAsia="Times New Roman" w:hAnsi="Times New Roman"/>
          <w:sz w:val="18"/>
          <w:szCs w:val="18"/>
          <w:color w:val="auto"/>
        </w:rPr>
      </w:pPr>
    </w:p>
    <w:p>
      <w:pPr>
        <w:ind w:left="120" w:hanging="4"/>
        <w:spacing w:after="0" w:line="258" w:lineRule="auto"/>
        <w:tabs>
          <w:tab w:leader="none" w:pos="3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our ordinary shares or ADSs as bona fide gifts, or for bona fide estate planning purposes, upon death or by will, testamentary document or intestate succession, provided that no filing under Section 16(a) of the Exchange Act or any other public filing or disclosure shall be voluntarily made during the restricted period and any required filing shall clearly indicate in the footnotes thereto that the filing relates to the circumstances described in this clause (2), including that the securities remain subject to the terms of the lock-up agreement and provided further that each transferee or donee signs a lock-up agreement;</w:t>
      </w:r>
    </w:p>
    <w:p>
      <w:pPr>
        <w:spacing w:after="0" w:line="183" w:lineRule="exact"/>
        <w:rPr>
          <w:rFonts w:ascii="Times New Roman" w:cs="Times New Roman" w:eastAsia="Times New Roman" w:hAnsi="Times New Roman"/>
          <w:sz w:val="18"/>
          <w:szCs w:val="18"/>
          <w:color w:val="auto"/>
        </w:rPr>
      </w:pPr>
    </w:p>
    <w:p>
      <w:pPr>
        <w:ind w:left="120" w:right="40" w:hanging="4"/>
        <w:spacing w:after="0" w:line="261" w:lineRule="auto"/>
        <w:tabs>
          <w:tab w:leader="none" w:pos="3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our ordinary shares or ADSs to an immediate family member, not involving a change in beneficial ownership, to certain trusts or, if the holder is a trust, to any beneficiary of such trust or the estate of any such beneficiary, provided that no filing under Section 16(a) of the Exchange Act or any other public filing or disclosure reporting a reduction in beneficial ownership of ordinary shares or ADSs shall be required or voluntarily made during the restricted period and provided further that each transferee or donee signs a lock-up agreement;</w:t>
      </w:r>
    </w:p>
    <w:p>
      <w:pPr>
        <w:spacing w:after="0" w:line="179" w:lineRule="exact"/>
        <w:rPr>
          <w:rFonts w:ascii="Times New Roman" w:cs="Times New Roman" w:eastAsia="Times New Roman" w:hAnsi="Times New Roman"/>
          <w:sz w:val="18"/>
          <w:szCs w:val="18"/>
          <w:color w:val="auto"/>
        </w:rPr>
      </w:pPr>
    </w:p>
    <w:p>
      <w:pPr>
        <w:ind w:left="120" w:hanging="4"/>
        <w:spacing w:after="0" w:line="258" w:lineRule="auto"/>
        <w:tabs>
          <w:tab w:leader="none" w:pos="3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our ordinary shares or ADSs or any security convertible into or exercisable or exchangeable for our ordinary shares or ADSs to shareholders, direct or indirect affiliates, current partners (general or limited), members or managers of such holders, or to the estates of any such shareholders, affiliates, partners, members or managers, provided that such distribution shall not involve a disposition for value and no filing under Section 16(a) of the Exchange Act or any other public filing or disclosure reporting a reduction in beneficial ownership of ordinary shares or ADSs shall be required or voluntarily made during the restricted period and provided further that each distributee signs a lock-up agreement;</w:t>
      </w:r>
    </w:p>
    <w:p>
      <w:pPr>
        <w:spacing w:after="0" w:line="183" w:lineRule="exact"/>
        <w:rPr>
          <w:rFonts w:ascii="Times New Roman" w:cs="Times New Roman" w:eastAsia="Times New Roman" w:hAnsi="Times New Roman"/>
          <w:sz w:val="18"/>
          <w:szCs w:val="18"/>
          <w:color w:val="auto"/>
        </w:rPr>
      </w:pPr>
    </w:p>
    <w:p>
      <w:pPr>
        <w:ind w:left="120" w:right="80" w:hanging="4"/>
        <w:spacing w:after="0" w:line="256" w:lineRule="auto"/>
        <w:tabs>
          <w:tab w:leader="none" w:pos="3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such holder of our ordinary shares or ADSs upon the exercise of options or warrants or upon the vesting and settlement of RSUs outstanding described in this prospectus supplement provided that the ordinary shares or ADSs received upon exercise of such option or warrant or vesting and settlement of such RSU shall remain subject to this agreement and provided further no filing under Section 16(a) of the Exchange Act, or any other public filing or disclosure of such receipt or transfer by or on behalf of such holder shall be voluntarily made during the restricted period, and any required filing under Section 16(a) of the Exchange Act shall clearly indicate in the footnotes thereto that the filing relates to the circumstances described in this clause (5);</w:t>
      </w:r>
    </w:p>
    <w:p>
      <w:pPr>
        <w:spacing w:after="0" w:line="187" w:lineRule="exact"/>
        <w:rPr>
          <w:rFonts w:ascii="Times New Roman" w:cs="Times New Roman" w:eastAsia="Times New Roman" w:hAnsi="Times New Roman"/>
          <w:sz w:val="18"/>
          <w:szCs w:val="18"/>
          <w:color w:val="auto"/>
        </w:rPr>
      </w:pPr>
    </w:p>
    <w:p>
      <w:pPr>
        <w:ind w:left="120" w:hanging="4"/>
        <w:spacing w:after="0" w:line="258" w:lineRule="auto"/>
        <w:tabs>
          <w:tab w:leader="none" w:pos="3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transfers of our ordinary shares or ADSs to us upon a vesting event of our securities or upon the exercise of options or warrants to purchase our securities on a “cashless” or “net exercise” basis to the extent permitted by the instruments representing such options or warrants so long as such “cashless” exercise or “net exercise” is effected solely by the surrender of outstanding options, warrants or RSUs to us and our cancellation of all or a portion thereof to pay the exercise price and/or withholding tax obligations, but for the avoidance of doubt, excluding all methods of exercise that would involve a sale of any ordinary shares or ADSs relating to options or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warrants, whether to cover the applicable exercise price, withholding tax obligations or otherwise, or (ii) the transfer or disposition of securities in connection with the vesting or settlement of RSUs, so long as such sale is effected pursuant to our sell to cover policy solely in an amount sufficient to cover withholding taxes due in connection with such RSUs; provided that, provided no filing under Section 16(a) of the Exchange Act, or any other public filing or disclosure of such receipt or transfer by or on behalf of such holder shall be voluntarily made during the restricted period, and any required filing under Section 16(a) of the Exchange Act shall clearly indicate in the footnotes thereto that the filing relates to the circumstances described in this clause (6);</w:t>
      </w:r>
    </w:p>
    <w:p>
      <w:pPr>
        <w:spacing w:after="0" w:line="187" w:lineRule="exact"/>
        <w:rPr>
          <w:sz w:val="20"/>
          <w:szCs w:val="20"/>
          <w:color w:val="auto"/>
        </w:rPr>
      </w:pPr>
    </w:p>
    <w:p>
      <w:pPr>
        <w:ind w:left="380" w:hanging="264"/>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pursuant to the terms of the Underwriting Agreement;</w:t>
      </w:r>
    </w:p>
    <w:p>
      <w:pPr>
        <w:spacing w:after="0" w:line="225" w:lineRule="exact"/>
        <w:rPr>
          <w:rFonts w:ascii="Times New Roman" w:cs="Times New Roman" w:eastAsia="Times New Roman" w:hAnsi="Times New Roman"/>
          <w:sz w:val="18"/>
          <w:szCs w:val="18"/>
          <w:color w:val="auto"/>
        </w:rPr>
      </w:pPr>
    </w:p>
    <w:p>
      <w:pPr>
        <w:ind w:left="120" w:right="200" w:hanging="4"/>
        <w:spacing w:after="0" w:line="258" w:lineRule="auto"/>
        <w:tabs>
          <w:tab w:leader="none" w:pos="3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by such holders of trading plans under Rule 10b5-1 under the Exchange Act provided that such plan does not provide for the transfer of ordinary shares or ADSs during the restricted period and provided further that to the extent a public announcement or filing under the Exchange Act, if any, is required of or voluntarily made by or on behalf of such holder or us regarding the establishment of such plan, such announcement or filing shall include a statement to the effect that no transfer of our ordinary shares or ADSs may be made under such plan during the restricted period;</w:t>
      </w:r>
    </w:p>
    <w:p>
      <w:pPr>
        <w:spacing w:after="0" w:line="183" w:lineRule="exact"/>
        <w:rPr>
          <w:rFonts w:ascii="Times New Roman" w:cs="Times New Roman" w:eastAsia="Times New Roman" w:hAnsi="Times New Roman"/>
          <w:sz w:val="18"/>
          <w:szCs w:val="18"/>
          <w:color w:val="auto"/>
        </w:rPr>
      </w:pPr>
    </w:p>
    <w:p>
      <w:pPr>
        <w:ind w:left="120" w:right="140" w:hanging="4"/>
        <w:spacing w:after="0" w:line="266" w:lineRule="auto"/>
        <w:tabs>
          <w:tab w:leader="none" w:pos="3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ordinary shares or ADSs pursuant to a trading plan pursuant to Rule 10b5-1 under the Exchange Act that is existing as of the date of this prospectus supplement, provided that to the extent a public announcement or filing under the Exchange Act is required of such holder or us regarding the sale, such announcement or filing shall include a statement to the effect that the sale occurred pursuant to such trading plan;</w:t>
      </w:r>
    </w:p>
    <w:p>
      <w:pPr>
        <w:spacing w:after="0" w:line="175" w:lineRule="exact"/>
        <w:rPr>
          <w:rFonts w:ascii="Times New Roman" w:cs="Times New Roman" w:eastAsia="Times New Roman" w:hAnsi="Times New Roman"/>
          <w:sz w:val="18"/>
          <w:szCs w:val="18"/>
          <w:color w:val="auto"/>
        </w:rPr>
      </w:pPr>
    </w:p>
    <w:p>
      <w:pPr>
        <w:ind w:left="120" w:right="160" w:hanging="4"/>
        <w:spacing w:after="0" w:line="258" w:lineRule="auto"/>
        <w:tabs>
          <w:tab w:leader="none" w:pos="4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our ordinary shares or ADSs or any security convertible into or exercisable or exchangeable for our ordinary shares or ADSs pursuant to a qualified domestic order in connection with a divorce settlement or other court order provided that each transferee signs a lock-up agreement and provided further that no filing under Section 16(a) of the Exchange Act or any other public filing or disclosure shall be voluntarily made during the restricted period, and any required filing shall clearly indicate in the footnotes thereto that such transfer is by operation of law, court order or in connection with a divorce settlement, as the case may be;</w:t>
      </w:r>
    </w:p>
    <w:p>
      <w:pPr>
        <w:spacing w:after="0" w:line="183" w:lineRule="exact"/>
        <w:rPr>
          <w:rFonts w:ascii="Times New Roman" w:cs="Times New Roman" w:eastAsia="Times New Roman" w:hAnsi="Times New Roman"/>
          <w:sz w:val="18"/>
          <w:szCs w:val="18"/>
          <w:color w:val="auto"/>
        </w:rPr>
      </w:pPr>
    </w:p>
    <w:p>
      <w:pPr>
        <w:ind w:left="120" w:hanging="4"/>
        <w:spacing w:after="0" w:line="256" w:lineRule="auto"/>
        <w:tabs>
          <w:tab w:leader="none" w:pos="45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our ordinary shares or ADSs or any security convertible into or exercisable or exchangeable for our ordinary shares or ADSs to us pursuant to any contractual arrangement described in this prospectus supplement under which we have the option to repurchase such shares or a right of first refusal over such shares in the event such holder ceases to provide services to us and provided further that no filing under the Exchange Act or other public filing, report or announcement shall be voluntarily made with respect to such transfer during the restricted period and if such holder is required to file a report under the Exchange Act reporting a change in beneficial ownership during the restricted period, such holder shall clearly indicate in the footnotes thereto that the filing relates to the termination of such holder’s employment or other services; and</w:t>
      </w:r>
    </w:p>
    <w:p>
      <w:pPr>
        <w:spacing w:after="0" w:line="187" w:lineRule="exact"/>
        <w:rPr>
          <w:rFonts w:ascii="Times New Roman" w:cs="Times New Roman" w:eastAsia="Times New Roman" w:hAnsi="Times New Roman"/>
          <w:sz w:val="18"/>
          <w:szCs w:val="18"/>
          <w:color w:val="auto"/>
        </w:rPr>
      </w:pPr>
    </w:p>
    <w:p>
      <w:pPr>
        <w:ind w:left="120" w:right="160" w:hanging="4"/>
        <w:spacing w:after="0" w:line="282" w:lineRule="auto"/>
        <w:tabs>
          <w:tab w:leader="none" w:pos="4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our ordinary shares or ADSs or any security convertible into or exercisable or exchangeable for our ordinary shares or ADSs pursuant to a bona fide third-party tender offer, merger, consolidation, or other similar transaction that is approved by our board of directors.</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Morgan Stanley Asia Limited and Jefferies LLC, in their sole discretion, may release the ordinary shares, ADSs and other securities subject to the lock-up agreements described above in whole or in part at any time.</w:t>
      </w:r>
    </w:p>
    <w:p>
      <w:pPr>
        <w:spacing w:after="0" w:line="16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order to facilitate the offering of the ADSs, the underwriters may engage in transactions that stabilize, maintain or otherwise affect the price of the ADSs. Specifically, the underwriters may sell more ADSs than they are obligated to purchase under the underwriting agreement, creating a short position. A short sale is covered if the short position is no greater than the number of ADSs available for purchase by the underwriters under the option to purchase additional shares. The underwriters can close out a covered short sale by exercising the option to purchase additional shares or purchasing ADSs in the open market. In determining the source of ADSs to close out a covered short sale, the underwriters will consider, among other things, the open market price of ADSs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compared to the price available under the option to purchase additional shares. The underwriters may also sell ADSs in excess of the option to purchase additional shares, creating a naked short position.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As an additional means of facilitating this offering, the underwriters may bid for, and purchase, ADSs in the open market to stabilize the price of the ADSs. These activities may raise or maintain the market price of the ADSs above independent market levels or prevent or retard a decline in the market price of the ADSs. The underwriters are not required to engage in these activities and may end any of these activities at any time.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A prospectus supplement in electronic format may be made available on websites maintained by one or more underwriters, or selling group members, if any, participating in this offering. The representatives may agree to allocate a number of ADSs to underwriters for sale to their online brokerage account holders. Internet distributions will be allocated by the representatives to underwriters that may make Internet distributions on the same basis as other allocations.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and other financial and non-financial activities and services. Certain of the underwriters and their respective affiliates have engaged in, and may in the future engage in, a variety of these services in the ordinary course of business with us or our affiliates. They have received, or may in the future receive, customary fees and commissions for these transactions.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public offering price will be determined between us and the representatives at the time of pricing and may be at a discount to the current market price. Accordingly, the recent market price used throughout this prospectus supplement may not be indicative of the public offering price. Among the factors considered in determining the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expect that delivery of the ADSs will be made against payment therefor on or about the closing date specified in the last paragraph of the cover page of this prospectus supplement, which will be the second business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day following the first trading date of the ADSs (this settlement cycle being referred to as “T+2”). Under Rule 15c6-1 of the Exchange Act, trades in the secondary market generally are required to settle in one business day, unless the parties to any such trade expressly agree otherwise. Accordingly, purchasers who wish to trade the ADSs on any day prior to the business day before delivery will be required, by virtue of the fact that the ADSs initially will settle in T+2, to specify an alternate settlement cycle at the time of any such trade to prevent a failed settlement. Purchasers of ADSs who wish to make such trades should consult their own advisors.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ADSs have been offered or will be offered pursuant to the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ADSs may be offered to the public in that Relevant State at any time under the following exemptions under the Prospectus Regulation:</w:t>
      </w:r>
    </w:p>
    <w:p>
      <w:pPr>
        <w:spacing w:after="0" w:line="75" w:lineRule="exact"/>
        <w:rPr>
          <w:sz w:val="20"/>
          <w:szCs w:val="20"/>
          <w:color w:val="auto"/>
        </w:rPr>
      </w:pPr>
    </w:p>
    <w:p>
      <w:pPr>
        <w:ind w:left="800" w:hanging="244"/>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225" w:lineRule="exact"/>
        <w:rPr>
          <w:rFonts w:ascii="Times New Roman" w:cs="Times New Roman" w:eastAsia="Times New Roman" w:hAnsi="Times New Roman"/>
          <w:sz w:val="18"/>
          <w:szCs w:val="18"/>
          <w:color w:val="auto"/>
        </w:rPr>
      </w:pPr>
    </w:p>
    <w:p>
      <w:pPr>
        <w:ind w:left="120" w:right="220" w:firstLine="436"/>
        <w:spacing w:after="0" w:line="282"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16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ADSs shall require us or any of the representatives to publish a prospectus pursuant to Article 3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Regulation or supplement a prospectus pursuant to Article 23 of the Prospectus Regulation. Each person who initially acquires any ADSs or to whom any offer is made will be deemed to have represented, acknowledged and agreed to and with each of the representatives and us that it is a “qualified investor” within the meaning of Article 2(e) of the Prospectus Regulation. In the case of any ADSs being offered to a financial intermediary as that term is used in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ADSs to the public other than their offer or resale in a Relevant State to qualified investors as so defined or in circumstances in which the prior consent of the representatives have been obtained to each such proposed offer or resale.</w:t>
      </w:r>
    </w:p>
    <w:p>
      <w:pPr>
        <w:spacing w:after="0" w:line="190"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to the public” in relation to the ADSs in any Relevant State means the communication in any form and by any means of sufficient information on the terms of the offer and any ADSs to be offered so as to enable an investor to decide to purchase or subscribe for any Shares, and the expression “Prospectus Regulation” means Regulation (EU) 2017/1129 (as amended).</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 ADSs have been offered or will be offered pursuant to the offering to the public in the United Kingdom prior to the publication of a prospectus in relation to the ADSs which has been approved by the Financial Conduct Authority, except that the ADSs may be offered to the public in the United Kingdom at any time:</w:t>
      </w:r>
    </w:p>
    <w:p>
      <w:pPr>
        <w:spacing w:after="0" w:line="68" w:lineRule="exact"/>
        <w:rPr>
          <w:sz w:val="20"/>
          <w:szCs w:val="20"/>
          <w:color w:val="auto"/>
        </w:rPr>
      </w:pPr>
    </w:p>
    <w:p>
      <w:pPr>
        <w:ind w:left="800" w:hanging="244"/>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paragraph 14 of Schedule 1 to the POAT Regulations;</w:t>
      </w:r>
    </w:p>
    <w:p>
      <w:pPr>
        <w:spacing w:after="0" w:line="225" w:lineRule="exact"/>
        <w:rPr>
          <w:rFonts w:ascii="Times New Roman" w:cs="Times New Roman" w:eastAsia="Times New Roman" w:hAnsi="Times New Roman"/>
          <w:sz w:val="18"/>
          <w:szCs w:val="18"/>
          <w:color w:val="auto"/>
        </w:rPr>
      </w:pPr>
    </w:p>
    <w:p>
      <w:pPr>
        <w:ind w:left="120" w:right="880" w:firstLine="436"/>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paragraph 15 of Schedule 1 to the POAT Regulations), subject to obtaining the prior consent of the representatives for any such offer; or</w:t>
      </w:r>
    </w:p>
    <w:p>
      <w:pPr>
        <w:spacing w:after="0" w:line="16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Part 1 of Schedule 1 to the POAT Regulations,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ADSs shall require us or any of the representatives to publish a prospectus pursuant to Section 85 of the FSMA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supplement a prospectus pursuant to the POAT Regulations.</w:t>
      </w:r>
    </w:p>
    <w:p>
      <w:pPr>
        <w:spacing w:after="0" w:line="16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ADSs in the United Kingdom means the communication in any form and by any means of sufficient information on the terms of the offer and any ADSs to be offered so as to enable an investor to decide to purchase or subscribe for any ADSs and the expression “POAT Regulations” means the Public Offers and Admissions to Trading Regulations 2024.</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is only for distribution to and directed at: (i) in the United Kingdom, persons having professional experience in matters relating to investments falling within Article 19(5) of the Financial Services and Markets Act 2000 (Financial Promotion) Order 2005, as amended, or the Order, and high net worth entities falling within Article 49(2)(a) to (d) of the Order; (ii) persons who are outside the United Kingdom; and (iii) any other person to whom it can otherwise be lawfully distributed, or all such persons together, Relevant Persons. Any investment or investment activity to which this prospectus supplement relates is available only to and will be engaged in only with Relevant Persons, and any person who is not a Relevant Person should not rely on it.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ADSs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ADSs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Pursuant to section 3A.3 (or, in the case of securities issued or guaranteed by the government of a non-Canadian jurisdiction, section 3A.4)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Our ADSs may not be offered or sold by means of any document other than (i) in circumstances which do not constitute an offer to the public within the meaning of the Companies (Winding Up and Miscellaneous Provisions) Ordinance (Chapter 32 of the Laws of Hong Kong) (“Companies (Winding Up and Miscellaneous Provisions) Ordinance”) or which do not constitute an invitation to the public within the meaning of the Securities and Futures Ordinance (Chapter 571 of the Laws of Hong Kong) (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our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960"/>
        <w:spacing w:after="0" w:line="282" w:lineRule="auto"/>
        <w:rPr>
          <w:sz w:val="20"/>
          <w:szCs w:val="20"/>
          <w:color w:val="auto"/>
        </w:rPr>
      </w:pPr>
      <w:r>
        <w:rPr>
          <w:rFonts w:ascii="Times New Roman" w:cs="Times New Roman" w:eastAsia="Times New Roman" w:hAnsi="Times New Roman"/>
          <w:sz w:val="18"/>
          <w:szCs w:val="18"/>
          <w:color w:val="auto"/>
        </w:rPr>
        <w:t>Hong Kong) other than with respect to our ADSs which are or are intended to be disposed of only to persons outside Hong Kong or only to “professional investors” in Hong Kong as defined in the Securities and Futures Ordinance and any rules made thereunder.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our ADSs may not be circulated or distributed, nor may our ADSs be offered or sold, or be made the subject of an invitation for subscription or purchase, whether directly or indirectly, to persons in Singapore other than (i) to an institutional investor (as defined in Section 4A of the Securities and Futures Act 2001 of Singapore, as modified or amended from time to time (the “SFA”)) pursuant to Section 274 of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Where our ADSs are subscribed or purchased under Section 275 of the SFA by a relevant person which is: (i) a corporation (which is not an accredited investor (as defined in Section 4A of the SFA))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securities or securities-based derivatives contracts (each term as defined in Section 2(1) of the SFA) of that corporation or the beneficiaries’ rights and interest in that trust shall not be transferable for six months after that corporation or that trust has acquired our ADSs under Section 275 of the SFA except: (i) to an institutional investor or to a relevant person, or to any person arising from an offer referred to in Section 275(1A) or Section 276(4)(i)(B) of the SFA; (ii) where no consideration is or will be given for the transfer; (iii) by operation of law, (iv) as specified in Section 276(7) of the SFA; or (v) as specified in Regulation 37A of the Securities and Futures (Offers of Investments) (Securities and Securities-based Derivatives Contracts) Regulations 2018.</w:t>
      </w:r>
    </w:p>
    <w:p>
      <w:pPr>
        <w:spacing w:after="0" w:line="188"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Singapore SFA Product Classification—In connection with Section 309B of the SFA and the CMP Regulations 2018, unless otherwise specified before an offer of ADSs, we have determined, and hereby notify all relevant persons (as defined in Section 309A(1) of the SFA), that the ADSs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Center</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Markets Rules 2012 of the Dubai Financial Services Authority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ADSs offered should conduct their own due diligence on the ADSs. If you do not understand the contents of this prospectus you should consult an authorized financial advisor.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ADSs have not been, and are not being, publicly offered, sold, promoted or advertised in the United Arab Emirates (including the Abu Dhabi Global Market and the Dubai International Financial Centre) other than in compliance with the laws of the United Arab Emirates (and the Abu Dhabi Global Market and the Dubai</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International Financial Centre) governing the issue, offering and sale of securities. Further, this prospectus supplement does not constitute a public offer of ADSs in the United Arab Emirates (including the Abu Dhabi Global Market and the Dubai International Financial Centre) and is not intended to be a public offer. This prospectus supplement has not been approved by or filed with the Central Bank of the United Arab Emirates, the Securities and Commodities Authority, Financial Services Regulatory Authority, the Dubai Financial Services Authority, or any other relevant licensing authority in the United Arab Emirates.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21" w:lineRule="exact"/>
        <w:rPr>
          <w:sz w:val="20"/>
          <w:szCs w:val="20"/>
          <w:color w:val="auto"/>
        </w:rPr>
      </w:pPr>
    </w:p>
    <w:p>
      <w:pPr>
        <w:jc w:val="both"/>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Any offer in Australia of the ADSs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w:t>
      </w:r>
    </w:p>
    <w:p>
      <w:pPr>
        <w:spacing w:after="0" w:line="180"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does not constitute an offer to the public or a solicitation to purchase or invest in any ADSs. No ADSs have been offered or will be offered to the public in Switzerland, except that offers of ADSs may be made to the public in Switzerland at any time under the following exemptions under the Swiss Financial Services Act (the “FinSA”):</w:t>
      </w:r>
    </w:p>
    <w:p>
      <w:pPr>
        <w:spacing w:after="0" w:line="68" w:lineRule="exact"/>
        <w:rPr>
          <w:sz w:val="20"/>
          <w:szCs w:val="20"/>
          <w:color w:val="auto"/>
        </w:rPr>
      </w:pPr>
    </w:p>
    <w:p>
      <w:pPr>
        <w:ind w:left="800" w:hanging="244"/>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which is a professional client as defined under the FinSA;</w:t>
      </w:r>
    </w:p>
    <w:p>
      <w:pPr>
        <w:spacing w:after="0" w:line="225" w:lineRule="exact"/>
        <w:rPr>
          <w:rFonts w:ascii="Times New Roman" w:cs="Times New Roman" w:eastAsia="Times New Roman" w:hAnsi="Times New Roman"/>
          <w:sz w:val="18"/>
          <w:szCs w:val="18"/>
          <w:color w:val="auto"/>
        </w:rPr>
      </w:pPr>
    </w:p>
    <w:p>
      <w:pPr>
        <w:ind w:left="120" w:right="880" w:firstLine="436"/>
        <w:spacing w:after="0" w:line="282" w:lineRule="auto"/>
        <w:tabs>
          <w:tab w:leader="none" w:pos="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500 persons (other than professional clients as defined under the FinSA), subject to obtaining the prior consent of the representatives for any such offer; or</w:t>
      </w:r>
    </w:p>
    <w:p>
      <w:pPr>
        <w:spacing w:after="0" w:line="16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36 FinSA in connection with Article 44 of the Swiss Financial Services Ordinance,</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ADSs shall require us or any representative to publish a prospectus pursuant to Article 35 FinSA.</w:t>
      </w:r>
    </w:p>
    <w:p>
      <w:pPr>
        <w:spacing w:after="0" w:line="22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ADSs have not been and will not be listed or admitted to trading on a trading venue in Switzerland. Neither this prospectus supplement nor any other offering or marketing material relating to the ADSs constitutes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 prospectus as such term is understood pursuant to the FinSA and neither this prospectus supplement nor any other offering or marketing material relating to the ADSs may be publicly distributed or otherwise made publicly available in Switzerland. Neither this prospectus supplement nor any other offering or marketing material relating to us, the offering, or the ADSs have been or will be filed with or approved by FINMA, and the offering of ADSs has not been and will not be authorized under the Swiss Federal Act on Collective Investment Schemes (“CISA”). The investor protection afforded to acquirers of interests in collective investment schemes under the CISA does not extend to acquirers of ADSs.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(the “FIEL”) has been made or will be made with respect to the solicitation of the application for the acquisition of the ADSs.</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Accordingly, the ADSs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 Qualified Institutional Investors (“QII”)</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ADSs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ADSs. The ADSs may only be transferred to QIIs.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 Non-QII Investors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ADSs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ADSs. The ADSs may only be transferred en bloc without subdivision to a single investor.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prospectus is not intended to constitute a public offer of the ADSs or ordinary shares, whether by way of sale or subscription, in the Cayman Islands. No offer or invitation may be made to the public in the Cayman Islands to subscribe for or purchase the ADSs or ordinary shares. Each underwriter has represented and agreed that it has not offered or sold, and will not offer or sell, directly or indirectly, any ADSs or ordinary shares in the Cayman Islands.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Indonesia</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prospectus does not, and is not intended to, constitute a public offering in Indonesia under Law Number 8 of 1995 regarding Capital Market. This prospectus may not be distributed in the Republic of Indonesia and the ADSs may not be offered or sold in the Republic of Indonesia or to Indonesian citizens wherever they are domiciled, or to Indonesia residents, in a manner which constitutes a public offering under the laws of the Republic of Indonesia.</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Israel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State of Israel, the ADSs offered hereby may not be offered to any person or entity other than the following:</w:t>
      </w:r>
    </w:p>
    <w:p>
      <w:pPr>
        <w:spacing w:after="0" w:line="131" w:lineRule="exact"/>
        <w:rPr>
          <w:sz w:val="20"/>
          <w:szCs w:val="20"/>
          <w:color w:val="auto"/>
        </w:rPr>
      </w:pPr>
    </w:p>
    <w:p>
      <w:pPr>
        <w:ind w:left="1080" w:right="1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fund for joint investments in trust (i.e., mutual fund), as such term is defined in the Law for Joint Investments in Trust, 5754-1994, or a management company of such a fund;</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provident fund as defined in Section 47(a)(2) of the Income Tax Ordinance of the State of Israel, or a management company of such a fund;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insurer, as defined in the Law for Oversight of Insurance Transactions, 5741-1981, a banking entity or satellite entity, as such terms are defined in the Banking Law (Licensing), 5741-1981, other than a joint services company, acting for their own account or for the account of investors of the type listed in Section 15A(b) of the Securities Law 1968;</w:t>
      </w:r>
    </w:p>
    <w:p>
      <w:pPr>
        <w:spacing w:after="0" w:line="81"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that is licensed as an investment advisor, as such term is defined in Section 7(c) of the Law for the Regulation of Investment Advisors and Portfolio Managers, 5755-1995, acting on its own account;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that is a member of the Tel Aviv Stock Exchange, acting on its own account or for the account of investors of the type listed in Section 15A(b) of the Securities Law 1968;</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underwriter fulfilling the conditions of Section 56(c) of the Securities Law, 5728-1968;</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venture capital fund (defined as an entity primarily involved in investments in companies which, at the time of investment, (i) are primarily engaged in research and development or manufacture of new technological products or processes and (ii) involve above-average risk);</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primarily engaged in capital markets activities in which all of the equity owners meet one or more of the above criteria;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other than an entity formed for the purpose of purchasing the ADSs in this offering, in which shareholders’ equity (including pursuant to foreign accounting rules, international accounting regulations and U.S. generally accepted accounting rules, as defined in the Securities Law Regulations (Preparation of Annual Financial Statements), 1993) is in excess of NIS 250 million.</w:t>
      </w:r>
    </w:p>
    <w:p>
      <w:pPr>
        <w:spacing w:after="0" w:line="176"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Any offeree of the ADSs offered hereby in the State of Israel shall be required to submit written confirmation that it falls within the scope of one of the above criteria. This prospectus will not be distributed or directed to investors in the State of Israel who do not fall within one of the above criteria.</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Korea</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ADSs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registered with the Financial Services Commission of Korea for public offering in Korea. Furthermore, the ADSs may not be resold to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Kuwait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Unless all necessary approvals from the Kuwait Ministry of Commerce and Industry required by Law No. 31/1990 ‘‘Regulating the Negotiation of Securities and Establishment of Investment Funds,’’ its Executive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Malaysia</w:t>
      </w:r>
    </w:p>
    <w:p>
      <w:pPr>
        <w:spacing w:after="0" w:line="12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This prospectus has not been and will not be registered as a prospectus with the Securities Commission Malaysia (“SC”) under the Capital Markets and Services Act 2007 of Malaysia (“CMSA”). No prospectus or other offering material or document in connection with the offer and sale of the ADSs which complies with the requirements of the CMSA and the guidelines of the SC has been or will be registered with the SC under the CMSA or with any other regulatory body in Malaysia. Also, no approval, authorisation or recognition of the SC has been granted for making available, offering for subscription or purchase, or issuing an invitation to subscribe for or purchase or sale, of the ADSs in Malaysia. This prospectus does not constitute and may not be used for the purpose of an offering or an issue, offer for subscription or purchase, invitation to subscribe for or purchase of sale of any securities requiring (a) the approval, authorisation or recognition of the SC and (b) the registration of a prospectus with the SC under the CMSA.</w:t>
      </w:r>
    </w:p>
    <w:p>
      <w:pPr>
        <w:spacing w:after="0" w:line="17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Accordingly, this prospectus and any other document or material in connection with the ADSs will not be circulated or distributed, nor will the ADSs be offered or sold, or be made the subject of an invitation for subscription or purchase, whether directly or indirectly, to persons in Malaysia other than the categories of persons specified in paragraph 14 of Schedule 5 of the CMSA and this is also provided that the distribution of the ADSs to such categories of exempted persons is made by a holder of a Capital Markets Services Licence in Malaysia who carries on the business of dealing in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People’s Republic of China</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This prospectus may not be circulated or distributed in the PRC and the ADSs may not be offered or sold, and will not be offered or sold to any person for re-offering or resale directly or indirectly to any resident of the PRC except pursuant to applicable laws and regulations of the PRC. This paragraph does not apply to Taiwan and the special administrative regions of Hong Kong and Macau.</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Philippines</w:t>
      </w:r>
    </w:p>
    <w:p>
      <w:pPr>
        <w:spacing w:after="0" w:line="117" w:lineRule="exact"/>
        <w:rPr>
          <w:sz w:val="20"/>
          <w:szCs w:val="20"/>
          <w:color w:val="auto"/>
        </w:rPr>
      </w:pPr>
    </w:p>
    <w:p>
      <w:pPr>
        <w:ind w:left="120" w:right="5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THE ADSS BEING OFFERED OR SOLD HAVE NOT BEEN AND WILL NOT BE REGISTERED WITH THE PHILIPPINE SECURITIES AND EXCHANGE COMMISSION UNDER THE SECURITIES REGULATION CODE OF THE PHILIPPINES (THE “SRC”). ANY FUTURE OFFER OR SALE OF THE ADSS WITHIN THE PHILIPPINES IS SUBJECT TO THE REGISTRATION REQUIREMENTS UNDER THE SRC UNLESS SUCH OFFER OR SALE QUALIFIES AS A TRANSACTION EXEMPT FROM THE REGISTRATION UNDER THE SRC.</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Accordingly, this prospectus, and any other document or material in connection with the offer or sale, or invitation for subscription or purchase of the ADSs, may not be circulated or distributed in the Philippines, and the ADSs may not be offered or sold, or be made the subject of an invitation for subscription or purchase, to persons in the Philippines, other than (i) to qualified investors in transactions that are exempt from the registration requirements of the SRC; and (ii) by persons licensed to make such offers or sales in the Philippines.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Qatar</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the State of Qatar, the offer contained in this prospectus supplement is made on an exclusive basis to the specifically intended recipient thereof, upon that person’s request and initiative, for personal use only and shall in no way be construed as a general offer for the sale of ADSs to the public or an attempt to do business as a bank,</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080"/>
          </w:cols>
          <w:pgMar w:left="320" w:top="455"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an investment company or otherwise in the State of Qatar. This prospectus and the underlying securities have not been approved or licensed by the Qatar Central Bank or the Qatar Financial Center Regulatory Authority or any other regulator in the State of Qatar. The information contained in this prospectus shall only be shared with any third parties in the State of Qatar on a need to know basis for the purpose of evaluating the offering. Any distribution of this prospectus by the recipient to third parties in the State of Qatar beyond the terms hereof is not permitted and shall be at the liability of such recipient.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Saudi Arabia</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may not be distributed in the Kingdom of Saudi Arabia except to such persons as are permitted under the Rules on the Offer of Securities and Continuing Obligations Regulations as issued by the board of the Saudi Arabian Capital Market Authority (the “CMA”) pursuant to resolution number 3-123-2017 dated 27 December 2017, as amended. The CMA does not make any representation as to the accuracy or completeness of this prospectus supplement, and expressly disclaims any liability whatsoever for any loss arising from, or incurred in reliance upon, any part of this prospectus supplement. Prospective purchasers of the ADSs offered hereby should conduct their own due diligence on the accuracy of the information relating to the ADSs. If you do not understand the contents of this prospectus you should consult an authorized financial adviser.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Taiwan</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 through a public offering or in such an offering that require registration, filing or approval of the Financial Supervisory Commission of Taiwan except pursuant to the applicable laws and regulations of Taiwan and the competent authority’s rulings thereunder.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Thailand</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This prospectus does not, and is not intended to, constitute a public offering in Thailand. The ADSs may not be offered or sold to persons in Thailand, unless such offering is made under the exemptions from approval and filing requirements under applicable laws, or under circumstances which do not constitute an offer for sale of the shares to the public for the purposes of the Securities and Exchange Act of 1992 of Thailand, nor require approval from the Office of the Securities and Exchange Commission of Thailand.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Vietnam</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This offering of ADSs has not been and will not be registered with the State Securities Commission of Vietnam under the Law on Securities of Vietnam and its guiding decrees and circulars. The ADSs will not be offered or sold in Vietnam through a public offering and will not be offered or sold to Vietnamese persons other than those who are licensed to invest in offshore securities under the Law on Investment of Vietnam.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INCOME TAX CONSIDERATIONS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following is a general summary of certain Cayman Islands, People’s Republic of China and United States federal income tax consequences relevant to an investment in our ADSs and ordinary shares. To the extent that the discussion below relates to matters of Cayman Islands tax law, it is the opinion of Maples and Calder (Hong Kong) LLP, our Cayman Islands counsel. To the extent that the discussion below relates to matters of the People’s Republic of China’s tax law, it is the opinion of JunHe LLP, our People’s Republic of China counsel. To the extent that the discussion below relates to matters of United States federal income tax law, it is the opinion of Cooley LLP, our United States counsel. The discussion is not intended to be, nor should it be construed as, legal or tax advice to any particular prospective purchaser. The discussion is based on laws and relevant interpretations thereof in effect as of the date of this prospectus supplement, all of which are subject to change or different interpretations, possibly with retroactive effect. The discussion does not address U.S. state or local tax laws, or tax laws of jurisdictions other than the Cayman Islands, the People’s Republic of China and the United States. You should consult your tax advisors with respect to the consequences of acquisition, ownership and disposition of our ADSs and ordinary shares.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No other taxes are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which are applicable to any payments made to or by our company. There are no exchange control regulations or currency restrictions in the Cayman Islands.</w:t>
      </w:r>
    </w:p>
    <w:p>
      <w:pPr>
        <w:spacing w:after="0" w:line="180"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our ordinary shares and ADSs will not be subject to taxation in the Cayman Islands and no withholding will be required on the payment of dividends or capital to any holder of our ordinary shares or ADSs, nor will gains derived from the disposal of our ordinary shares or ADSs be subject to Cayman Islands income or corporation tax.</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stamp duty is payable in respect of the issue of our ordinary shares or on an instrument of transfer in respect of our ordinary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U.S. Holders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consequences relating to the ownership and disposition of our ADSs by U.S. Holders (as defined below). This discussion applies to U.S. Holders that purchase ADSs pursuant to this offering and hold such ADSs as capital assets within the meaning of Section 1221 of the U.S. Internal Revenue Code of 1986, as amended (the “Code”). This discussion is based on the Code, U.S. Treasury regulations promulgated thereunder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(such as the effects of Section 451(b) of the Code conforming the timing of certain income accruals to financial statements) or to U.S. Holders subject to special treatment under U.S. federal income tax law (such as certain financial institutions, insurance companies, broker-dealers and traders in securities or other persons that generally mark their securities to market for U.S. federal income tax purposes, tax-exempt entities, retirement plans, regulated investment companies, real estate investment trusts, certain former citizens or residents of the United States, persons who hold ADSs as part of a “straddle,” “hedge,” “conversion transaction,” “synthetic security” or integrated investment, persons who received their ADSs as compensatory payments, persons that have a “functional currency” other than the U.S.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dollar, persons that own directly, indirectly or through attribution 10% or more of our shares by vote or value, corporations that accumulate earnings to avoid U.S. federal income tax, partnerships and other pass-through entities and arrangements that are classified as partnerships for U.S. federal income tax purposes, and investors in such pass-through entities). This discussion does not address any U.S. state or local or non-U.S. tax consequences, the Medicare tax on net investment income, or any U.S. federal estate, gift or alternative minimum tax consequences.</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used in this discussion, the term “U.S. Holder” means a beneficial owner of ADSs that is, for U.S. federal income tax purposes, (1) an individual who is a citizen or resident of the United States, (2) a corporation (or entity treated as a corporation for U.S. federal income tax purposes) created or organized in or under the laws of the United States, any state thereof, or the District of Columbia, (3) an estate the income of which is subject to U.S. federal income tax regardless of its source or (4)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ADSs, the U.S. federal income tax consequences relating to an investment in the ADSs will depend in part upon the status and activities of such entity or arrangement and the particular partner. Any such entity or arrangement, as well as its partners, should consult their own tax advisor regarding the U.S. federal income tax consequences applicable to it and its partners of the purchase, ownership and disposition of ADSs.</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Persons considering an investment in ADSs should consult their own tax advisors as to the particular tax consequences applicable to them relating to the purchase, ownership and disposition of ADSs, including the applicability of U.S. federal, state and local tax laws and non-U.S. tax laws.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Passive Foreign Investment Company Consequences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In general, a corporation organized outside the United States will be treated as a PFIC for any taxable year in which either (1) at least 75% of its gross income is “passive income,” (the “PFIC income test”), or (2) on average at least 50% of its assets, determined on a quarterly basis, are assets that produce passive income or are held for the production of passive income, (the “PFIC asset test”). Passive income for this purpose generally includes, among other things, dividends, interest, royalties, rents, and gains from the sale or exchange of property that gives rise to passive income. Assets that produce or are held for the production of passive income generally include cash, even if held as working capital or raised in a public offering, marketable securities, and other assets that may produce passive income. Generally, in determining whether a non-U.S. corporation is a PFIC, a proportionate share of the income and assets of each corporation in which it owns, directly or indirectly, at least a 25% interest (by value) is taken into account.</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status as a PFIC will depend on the nature and composition of our income and the nature, composition and value of our assets (which may be determined based on the fair market value of each asset, with the value of goodwill and going concern value being determined in large part by reference to the market value of our ADSs, which may be volatile). Our status may also depend, in part, on how quickly we utilize the cash proceeds from this offering and other fundraising activities in our business. Based on our operating history and the composition of our income and valuation of our assets, including goodwill, we do not believe we were a PFIC for our taxable year ended December 31, 2025. There can be no assurance that the IRS will agree with our conclusion and that the IRS would not successfully challenge our position. Our status as a PFIC is a fact-intensive determination made on an annual basis after the end of each taxable year, including the current taxable year. Accordingly, our U.S. counsel expresses no opinion with respect to our PFIC status for our taxable year ended December 31, 2025, and expresses no opinion with regard to our expectations regarding our PFIC status for our current taxable year or any future taxable year.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we are a PFIC in any taxable year during which a U.S. Holder owns ADSs, the U.S. Holder could be liable for additional taxes and interest charges under the “PFIC excess distribution regime” upon (1) a distribution paid during a taxable year that is greater than 125% of the average annual distributions paid in the three preceding taxable years, or, if shorter, the U.S. Holder’s holding period for the ADSs, and (2) any gain recognized on a sale, exchange or other disposition, including a pledge, of the ADSs, whether or not we continue to be a PFIC. Under the PFIC excess distribution regime, the tax on such distribution or gain would be determined by allocating the distribution or gain ratably over the U.S. Holder’s holding period for ADSs.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applicable, to ordinary income for each such taxable year, and an interest charge, generally applicable to underpayments of tax, will be added to the tax.</w:t>
      </w:r>
    </w:p>
    <w:p>
      <w:pPr>
        <w:spacing w:after="0" w:line="188"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If we are a PFIC for any year during which a U.S. Holder holds ADSs, we must generally continue to be treated as a PFIC by that holder for all succeeding years during which the U.S. Holder holds the ADSs, unless we cease to meet the requirements for PFIC status and the U.S. Holder makes a “deemed sale” election with respect to the ADSs. If the election is made, the U.S. Holder will be deemed to sell the ADSs it holds at their fair market value on the last day of the last taxable year in which we qualified as a PFIC, and any gain recognized from such deemed sale would be taxed under the PFIC excess distribution regime. After the deemed sale election, the U.S. Holder’s ADSs would not be treated as shares of a PFIC unless we subsequently become a PFIC.</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ADSs and one of our non-U.S. corporate subsidiaries is also a PFIC (i.e., a lower-tier PFIC), such U.S. Holder would be treated as owning a proportionate amount (by value) of the shares of the lower-tier PFIC and would be taxed under the PFIC excess distribution regime on distributions by the lower-tier PFIC and on gain from the disposition of shares of the lower-tier PFIC even though such U.S. Holder would not receive the proceeds of those distributions or dispositions. Each U.S. Holder is advised to consult its tax advisors regarding the application of the PFIC rules to our non-U.S. subsidiaries.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are a PFIC, a U.S. Holder will not be subject to tax under the PFIC excess distribution regime on distributions or gain recognized on ADSs if such U.S. Holder makes a valid “mark-to-market” election for our ADSs. A mark-to-market election is available to a U.S. Holder only for “marketable stock.” Our ADSs will be marketable stock as long as they remain listed on the Nasdaq Global Select Market and are regularly traded, other than in de minimis quantities, on at least 15 days during each calendar quarter. If a mark-to-market election is in effect, a U.S. Holder generally would take into account, as ordinary income for each taxable year of the U.S. Holder, the excess of the fair market value of ADSs held at the end of such taxable year over the adjusted tax basis of such ADSs. The U.S. Holder would also take into account, as an ordinary loss each year, the excess of the adjusted tax basis of such ADSs over their fair market value at the end of the taxable year, but only to the extent of the excess of amounts previously included in income over ordinary losses deducted as a result of the mark-to-market election. The U.S. Holder’s tax basis in ADSs would be adjusted to reflect any income or loss recognized as a result of the mark-to-market election. Any gain from a sale, exchange or other disposition of ADSs in any taxable year in which we are a PFIC would be treated as ordinary income and any loss from such sale, exchange or other disposition would be treated first as ordinary loss (to the extent of any net mark-to-market gains previously included in income) and thereafter as capital loss.</w:t>
      </w:r>
    </w:p>
    <w:p>
      <w:pPr>
        <w:spacing w:after="0" w:line="192"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 mark-to-market election will not apply to ADSs for any taxable year during which we are not a PFIC, but will remain in effect with respect to any subsequent taxable year in which we become a PFIC. Such election will not apply to any non-U.S. subsidiaries that we may organize or acquire in the future. Accordingly, a U.S. Holder may continue to be subject to tax under the PFIC excess distribution regime with respect to any lower-tier PFICs that we may organize or acquire in the future notwithstanding the U.S. Holder’s mark-to-market election for the ADSs.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tax consequences that would apply if we are a PFIC would also be different from those described above if a U.S. Holder were able to make a valid qualified electing fund (“QEF”) election. At this time, we do not expect to provide U.S. Holders with the information necessary for a U.S. Holder to make a QEF election. Prospective investors should assume that a QEF election will not be available.</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Each U.S. person that is an investor in a PFIC is generally required to file an annual information return on IRS Form 8621 containing such information as the U.S. Treasury Department may require. The failure to file IRS Form 8621 could result in the imposition of penalties and the extension of the statute of limitations with respect to U.S. federal income tax.</w:t>
      </w:r>
    </w:p>
    <w:p>
      <w:pPr>
        <w:spacing w:after="0" w:line="172" w:lineRule="exact"/>
        <w:rPr>
          <w:sz w:val="20"/>
          <w:szCs w:val="20"/>
          <w:color w:val="auto"/>
        </w:rPr>
      </w:pPr>
    </w:p>
    <w:p>
      <w:pPr>
        <w:ind w:left="120" w:right="2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The U.S. federal income tax rules relating to PFICs are very complex. Prospective U.S. Holders are strongly urged to consult their own tax advisors with respect to the impact of PFIC status on the purchase, ownership and disposition of ADSs, the consequences to them of an investment in a PFIC, any elections available with respect to the ADSs and the IRS information reporting obligations with respect to the purchase, ownership and disposition of ADSs of a PFIC.</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described in the section titled “Dividend Policy,” we do not anticipate declaring or paying dividends to holders of our ADSs in the foreseeable future. However, if we make a distribution contrary to that expectation, subject to the discussion above under “—Passive Foreign Investment Company Consequences,” a U.S. Holder that receives a distribution with respect to ADSs generally will be required to include the gross amount of such distribution in gross income as a dividend when actually or constructively received to the extent of the U.S. Holder’s pro rata share of our current and/or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ADSs. To the extent the distribution exceeds the adjusted tax basis of the U.S. Holder’s ADSs, the remainder will be taxed as capital gain. Because we may not account for our earnings and profits in accordance with U.S. federal income tax principles, U.S. Holders should expect all distributions to be reported to them as dividends.</w:t>
      </w:r>
    </w:p>
    <w:p>
      <w:pPr>
        <w:spacing w:after="0" w:line="188"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Distributions on ADSs that are treated as dividends generally will constitute income from sources outside the United States for foreign tax credit purposes and generally will constitute passive category income. Subject to certain complex conditions and limitations, taxes withheld on any distributions on ADSs (such as PRC withholding taxes described below under “—PRC Taxation”) may be eligible for credit against a U.S. Holder’s federal income tax liability. However, Treasury Regulations may in some circumstances prohibit a U.S. person from claiming a foreign tax credit with respect to certain non-U.S. taxes that are not creditable under applicable income tax treaties. The rules relating to the determination of the U.S. foreign tax credit are complex, and U.S. Holders should consult their tax advisors regarding the availability of a foreign tax credit in their particular circumstances and the possibility of claiming an itemized deduction (in lieu of the foreign tax credit) for any foreign taxes paid or withheld.</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Distributions on ADSs that are treated as dividends generally will not be eligible for the “dividends received” deduction generally allowed to corporate shareholders with respect to dividends received from U.S. corporations. Dividends paid by a “qualified foreign corporation” are eligible for taxation to non-corporate U.S. Holders at a reduced capital gains rate rather than the marginal tax rates generally applicable to ordinary income provided that certain requirements are met. A non-United States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shares that are readily tradable on an established securities market in the United States. Our ADSs generally will be considered to be readily tradable on an established securities market in the United States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for so long as they are listed on the Nasdaq Global Select Market. Each U.S. Holder is advised to consult its tax advisors regarding the availability of the reduced tax rate on dividends with regard to its particular circumstances.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Exchange or Other Disposition of ADSs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Subject to the discussion above under “—Passive Foreign Investment Company Consequences,” a U.S. Holder generally will recognize capital gain or loss for U.S. federal income tax purposes upon the sale, exchange or other disposition of ADSs in an amount equal to the difference, if any, between the amount realized (i.e., the amount of cash plus the fair market value of any property received) on the sale, exchange or other disposition and such U.S. Holder’s adjusted tax basis in the ADSs. Such capital gain or loss generally will be long-term capital gain taxable at a reduced rate for non-corporate U.S. Holders or long-term capital loss if, on the date of sale, exchange or other disposition, the ADSs were held by the U.S. Holder for more than one year. Any capital gain of a non-corporate U.S. Holder that is not long-term capital gain is taxed at ordinary income rates. The deductibility of capital losses is subject to limitations. Any gain or loss recognized from the sale or other disposition of ADSs will generally be gain or loss from sources within the United States for U.S. foreign tax credit purposes.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U.S. Holders may be required to file certain U.S. information reporting returns with the IRS with respect to an investment in ADSs, including, among others, IRS Form 8938 (Statement of Specified Foreign Financial Assets), which requires certain U.S. Holders to report “specified foreign financial assets,” which generally include financial accounts held at a non-U.S. financial institution, interests in non-U.S. entities, as well as stock and other securities issued by a non-U.S. person. As described above under “—Passive Foreign Investment Company Consequences,” each U.S. Holder who is a shareholder of a PFIC must file an annual report containing certain information. U.S. Holders paying more than US$100,000 for ADSs may be required to file IRS Form 926 (Return by a U.S. Transferor of Property to a Foreign Corporation) reporting this payment. Substantial penalties may be imposed upon a U.S. Holder that fails to comply with the required information reporting. U.S. Holders are thus encouraged to consult their U.S. tax advisors with respect to these and other reporting requirements that may apply to their acquisition of the ADSs.</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Dividends on and proceeds from the sale or other disposition of ADSs may be reported to the IRS unless the U.S. Holder establishes a basis for exemption. Backup withholding may apply to amounts subject to reporting if the holder (1) fails to provide an accurate United States taxpayer identification number or otherwise establish a basis for exemption (usually on IRS Form W-9), or (2) is described in certain other categories of persons. However, U.S. Holders that are corporations generally are excluded from these information reporting and backup withholding tax rules. Backup withholding is not an additional tax. 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U.S. Holders should consult their own tax advisors regarding the backup withholding tax and information reporting rules.</w:t>
      </w:r>
    </w:p>
    <w:p>
      <w:pPr>
        <w:spacing w:after="0" w:line="221"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EACH PROSPECTIVE INVESTOR IS URGED TO CONSULT ITS OWN TAX ADVISOR ABOUT THE TAX CONSEQUENCES TO IT OF AN INVESTMENT IN ADSS IN LIGHT OF THE INVESTOR’S OWN CIRCUMSTANCES.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PRC Taxation</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China with “de facto management body” within China is considered as a Tax Resident Enterprise for PRC</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enterprise income tax purposes and is generally subject to a uniform 25% enterprise income tax rate on its worldwide income. The implementation rules of the PRC Enterprise Income Tax Law define the term “de facto management body” as the body that exercises full and substantial control and overall management over the business, productions, personnel, accounts and properties of an enterprise. In April 2009, the SAT issued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if all of the following conditions are met: (i) the primary location of the day-to-day operational management is in China; (ii) decisions relating to the enterprise’s financial and human resource matters are made or are subject to approval by organizations or personnel located in China;</w:t>
      </w:r>
    </w:p>
    <w:p>
      <w:pPr>
        <w:spacing w:after="0" w:line="4" w:lineRule="exact"/>
        <w:rPr>
          <w:sz w:val="20"/>
          <w:szCs w:val="20"/>
          <w:color w:val="auto"/>
        </w:rPr>
      </w:pPr>
    </w:p>
    <w:p>
      <w:pPr>
        <w:ind w:left="120" w:right="220" w:hanging="4"/>
        <w:spacing w:after="0" w:line="260" w:lineRule="auto"/>
        <w:tabs>
          <w:tab w:leader="none" w:pos="4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enterprise’s primary assets, accounting books and records, company seals, and board and shareholder resolutions, are located or maintained in China; and (iv) at least 50% of board members with voting rights or senior executives habitually reside in China.</w:t>
      </w:r>
    </w:p>
    <w:p>
      <w:pPr>
        <w:spacing w:after="0" w:line="18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believe that we should not be considered as a PRC resident enterprise for PRC tax purposes as (i) we are incorporated outside of China and not controlled by a PRC enterprise or PRC enterprise group; and (ii) we do not meet all of the conditions above. However, the tax resident status of an enterprise is subject to determination by the PRC tax authorities and uncertainties remain with respect to the interpretation of the term “de facto management body.” There can be no assurance that PRC tax authorities will ultimately not take a different view.</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PRC tax authorities determine that we are a PRC resident enterprise for enterprise income tax purposes, our worldwide income could be subject to 25% enterprise income tax; and any dividends payable to non-resident enterprise holders of our ordinary shares or ADSs may be treated as income derived from sources within China and therefore, subject to a 10% withholding tax (or 20% in the case of non-resident individual holders) unless an applicable income tax treaty provides otherwise. In addition, capital gains realized by non-resident enterprise shareholders (including our ADS holders) upon the disposition of our ordinary shares or ADSs may be treated as income derived from sources within PRC and therefore, subject to 10% income tax (or 20% in the case of non-resident individual shareholders or ADS holders) unless an applicable income tax treaty provides otherwise. It is unclear whether non-PRC shareholders of our company would be able to claim the benefits of any tax treaties between their country of tax residence and the PRC in the event that we are treated as a PRC resident enterprise.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being represented by Cooley LLP with respect to certain legal matters as to United States federal securities and New York State law. The underwriters are being represented by Wilson Sonsini Goodrich &amp; Rosati, Professional Corporation with respect to certain legal matters as to United States federal securities and New York State law. The validity of the ordinary shares represented by the ADSs offered in this offering and legal matters as to Cayman Islands law will be passed upon for us by Maples and Calder (Hong Kong) LLP. Certain legal matters as to the PRC law will be passed upon for us by JunHe LLP and the underwriters by Jingtian &amp; Congcheng. Cooley LLP may rely upon Maples and Calder (Hong Kong) LLP with respect to matters governed by Cayman Islands law and JunHe LLP with respect to matters governed by PRC law.</w:t>
      </w:r>
    </w:p>
    <w:p>
      <w:pPr>
        <w:spacing w:after="0" w:line="3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20-F for the year ended December 31, 2025, and the effectiveness of our internal control over financial reporting as of December 31, 2025, as set forth in their reports, which are incorporated by reference in this preliminary prospectus supplement and elsewhere in the registration statement. Our financial statements are incorporated by reference in reliance on Ernst &amp; Young LLP’s reports, given on their authority as experts in accounting and auditing.</w:t>
      </w:r>
    </w:p>
    <w:p>
      <w:pPr>
        <w:spacing w:after="0" w:line="1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0960"/>
          </w:cols>
          <w:pgMar w:left="320" w:top="455" w:right="6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are currently subject to periodic reporting and other informational requirements of the Exchange Act, as applicable to foreign private issuers. Accordingly, we are required to file reports, including annual reports on Form 20-F and other information with the SEC. The SEC maintains a website that contains reports, proxy and information statements and other information regarding registrants that file electronically with the SEC. The address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generally accepted accounting principles in the United States, and all notices of shareholders’ meetings and other reports and communications that are made generally available to our shareholders. The depositary will make such notices, reports and communications available to holders of ADSs and will mail to all record holders of ADSs the information contained in any notice of a shareholders’ meeting received by the depositary from us if we ask it to.</w:t>
      </w:r>
    </w:p>
    <w:p>
      <w:pPr>
        <w:spacing w:after="0" w:line="188"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accompanying prospectus are part of a registration statement on Form F-3 that we filed with the SEC and do not contain all of the information in the registration statement. The full registration statement may be obtained from the SEC or us, as provided below. Forms of the documents establishing the terms of the offered securities are or may be filed as exhibits to the registration statement to which this prospectus supplement relates or otherwise with the SEC. Statements in this prospectus supplement and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080"/>
          </w:cols>
          <w:pgMar w:left="320" w:top="455"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should be read with the same care. When we update the information contained in documents that have been incorporated by reference by making future filings with the SEC, the information incorporated by reference in this prospectus supplement is considered to be automatically updated and superseded. In other words, in the case of a conflict or inconsistency between information contained in this prospectus supplement and information incorporated by reference in this prospectus supplement, you should rely on the information contained in the document that was filed later.</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documents we are incorporating by reference are:</w:t>
      </w:r>
    </w:p>
    <w:p>
      <w:pPr>
        <w:spacing w:after="0" w:line="13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6">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10, 2026 (File No. 001-39307);</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the securities contained in our registration statement on </w:t>
      </w:r>
      <w:hyperlink r:id="rId6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June 2, 2020 (File No. 001-39307) pursuant to Section 12 of the Exchange Act, together with all amendments and reports filed for the purpose of updating that description, including </w:t>
      </w:r>
      <w:hyperlink r:id="rId68">
        <w:r>
          <w:rPr>
            <w:rFonts w:ascii="Times New Roman" w:cs="Times New Roman" w:eastAsia="Times New Roman" w:hAnsi="Times New Roman"/>
            <w:sz w:val="18"/>
            <w:szCs w:val="18"/>
            <w:u w:val="single" w:color="auto"/>
            <w:color w:val="0000EE"/>
          </w:rPr>
          <w:t>Exhibit 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Annual Report on Form 20-F for the year ended December 31, 2025;</w:t>
      </w:r>
    </w:p>
    <w:p>
      <w:pPr>
        <w:spacing w:after="0" w:line="81" w:lineRule="exact"/>
        <w:rPr>
          <w:rFonts w:ascii="Times New Roman" w:cs="Times New Roman" w:eastAsia="Times New Roman" w:hAnsi="Times New Roman"/>
          <w:sz w:val="18"/>
          <w:szCs w:val="18"/>
          <w:color w:val="0000EE"/>
        </w:rPr>
      </w:pPr>
    </w:p>
    <w:p>
      <w:pPr>
        <w:ind w:left="1080" w:right="340" w:hanging="424"/>
        <w:spacing w:after="0" w:line="282" w:lineRule="auto"/>
        <w:tabs>
          <w:tab w:leader="none" w:pos="1080" w:val="left"/>
        </w:tabs>
        <w:numPr>
          <w:ilvl w:val="0"/>
          <w:numId w:val="30"/>
        </w:numPr>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auto"/>
          </w:rPr>
          <w:t xml:space="preserve">our Reports on Form 6-K filed with the SEC on </w:t>
        </w:r>
        <w:r>
          <w:rPr>
            <w:rFonts w:ascii="Times New Roman" w:cs="Times New Roman" w:eastAsia="Times New Roman" w:hAnsi="Times New Roman"/>
            <w:sz w:val="18"/>
            <w:szCs w:val="18"/>
            <w:u w:val="single" w:color="auto"/>
            <w:color w:val="0000EE"/>
          </w:rPr>
          <w:t>January 12,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14,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21,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23,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6,</w:t>
        </w:r>
      </w:hyperlink>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0">
        <w:r>
          <w:rPr>
            <w:rFonts w:ascii="Times New Roman" w:cs="Times New Roman" w:eastAsia="Times New Roman" w:hAnsi="Times New Roman"/>
            <w:sz w:val="18"/>
            <w:szCs w:val="18"/>
            <w:u w:val="single" w:color="auto"/>
            <w:color w:val="0000EE"/>
          </w:rPr>
          <w:t>March 10, 2026</w:t>
        </w:r>
      </w:hyperlink>
      <w:hyperlink r:id="rId6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1">
        <w:r>
          <w:rPr>
            <w:rFonts w:ascii="Times New Roman" w:cs="Times New Roman" w:eastAsia="Times New Roman" w:hAnsi="Times New Roman"/>
            <w:sz w:val="18"/>
            <w:szCs w:val="18"/>
            <w:u w:val="single" w:color="auto"/>
            <w:color w:val="0000EE"/>
          </w:rPr>
          <w:t>April 14, 2026</w:t>
        </w:r>
      </w:hyperlink>
      <w:hyperlink r:id="rId6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2">
        <w:r>
          <w:rPr>
            <w:rFonts w:ascii="Times New Roman" w:cs="Times New Roman" w:eastAsia="Times New Roman" w:hAnsi="Times New Roman"/>
            <w:sz w:val="18"/>
            <w:szCs w:val="18"/>
            <w:u w:val="single" w:color="auto"/>
            <w:color w:val="0000EE"/>
          </w:rPr>
          <w:t>May 12, 2026</w:t>
        </w:r>
      </w:hyperlink>
      <w:hyperlink r:id="rId6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3">
        <w:r>
          <w:rPr>
            <w:rFonts w:ascii="Times New Roman" w:cs="Times New Roman" w:eastAsia="Times New Roman" w:hAnsi="Times New Roman"/>
            <w:sz w:val="18"/>
            <w:szCs w:val="18"/>
            <w:u w:val="single" w:color="auto"/>
            <w:color w:val="0000EE"/>
          </w:rPr>
          <w:t>May 21, 2026</w:t>
        </w:r>
      </w:hyperlink>
      <w:hyperlink r:id="rId6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4">
        <w:r>
          <w:rPr>
            <w:rFonts w:ascii="Times New Roman" w:cs="Times New Roman" w:eastAsia="Times New Roman" w:hAnsi="Times New Roman"/>
            <w:sz w:val="18"/>
            <w:szCs w:val="18"/>
            <w:u w:val="single" w:color="auto"/>
            <w:color w:val="0000EE"/>
          </w:rPr>
          <w:t>June 1, 2026</w:t>
        </w:r>
      </w:hyperlink>
      <w:hyperlink r:id="rId6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5">
        <w:r>
          <w:rPr>
            <w:rFonts w:ascii="Times New Roman" w:cs="Times New Roman" w:eastAsia="Times New Roman" w:hAnsi="Times New Roman"/>
            <w:sz w:val="18"/>
            <w:szCs w:val="18"/>
            <w:u w:val="single" w:color="auto"/>
            <w:color w:val="0000EE"/>
          </w:rPr>
          <w:t xml:space="preserve">June 2, 2026 </w:t>
        </w:r>
      </w:hyperlink>
      <w:hyperlink r:id="rId69">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76">
        <w:r>
          <w:rPr>
            <w:rFonts w:ascii="Times New Roman" w:cs="Times New Roman" w:eastAsia="Times New Roman" w:hAnsi="Times New Roman"/>
            <w:sz w:val="18"/>
            <w:szCs w:val="18"/>
            <w:u w:val="single" w:color="auto"/>
            <w:color w:val="0000EE"/>
          </w:rPr>
          <w:t>June 15, 2026</w:t>
        </w:r>
      </w:hyperlink>
      <w:hyperlink r:id="rId69">
        <w:r>
          <w:rPr>
            <w:rFonts w:ascii="Times New Roman" w:cs="Times New Roman" w:eastAsia="Times New Roman" w:hAnsi="Times New Roman"/>
            <w:sz w:val="18"/>
            <w:szCs w:val="18"/>
            <w:color w:val="000000"/>
          </w:rPr>
          <w:t>;</w:t>
        </w:r>
      </w:hyperlink>
    </w:p>
    <w:p>
      <w:pPr>
        <w:spacing w:after="0" w:line="67" w:lineRule="exact"/>
        <w:rPr>
          <w:rFonts w:ascii="Times New Roman" w:cs="Times New Roman" w:eastAsia="Times New Roman" w:hAnsi="Times New Roman"/>
          <w:sz w:val="18"/>
          <w:szCs w:val="18"/>
          <w:color w:val="0000EE"/>
        </w:rPr>
      </w:pPr>
    </w:p>
    <w:p>
      <w:pPr>
        <w:ind w:left="1080" w:right="1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annual reports on Form 20-F filed with the SEC after the date of this prospectus supplement and prior to the termination of the offering of the securities offered by this prospectus supplement;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current reports on Form 6-K that we furnish to the SEC on or after the date of this prospectus supplement and prior to the termination of the offering of the securities offered by this prospectus supplement that are identified in such reports as being incorporated by reference in this prospectus supplement.</w:t>
      </w:r>
    </w:p>
    <w:p>
      <w:pPr>
        <w:spacing w:after="0" w:line="176" w:lineRule="exact"/>
        <w:rPr>
          <w:rFonts w:ascii="Times New Roman" w:cs="Times New Roman" w:eastAsia="Times New Roman" w:hAnsi="Times New Roman"/>
          <w:sz w:val="18"/>
          <w:szCs w:val="18"/>
          <w:color w:val="0000EE"/>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supplement shall be deemed to incorporate by reference information furnished to, but not filed with, the SEC. Copies of all documents incorporated by reference in this prospectus supplement, other than exhibits to those documents unless such exhibits are specially incorporated by reference in this prospectus supplement, will be provided at no cost to each person, including any beneficial owner, who receives a copy of this prospectus on the written or oral request of that person made to:</w:t>
      </w:r>
    </w:p>
    <w:p>
      <w:pPr>
        <w:spacing w:after="0" w:line="180"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Legend Biotech Corporation</w:t>
      </w:r>
    </w:p>
    <w:p>
      <w:pPr>
        <w:spacing w:after="0" w:line="27"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2101 Cottontail Lane</w:t>
      </w:r>
    </w:p>
    <w:p>
      <w:pPr>
        <w:spacing w:after="0" w:line="9"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Somerset, NJ 08873</w:t>
      </w:r>
    </w:p>
    <w:p>
      <w:pPr>
        <w:spacing w:after="0" w:line="9"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(732) 317-5050</w:t>
      </w:r>
    </w:p>
    <w:p>
      <w:pPr>
        <w:spacing w:after="0" w:line="205" w:lineRule="exact"/>
        <w:rPr>
          <w:rFonts w:ascii="Times New Roman" w:cs="Times New Roman" w:eastAsia="Times New Roman" w:hAnsi="Times New Roman"/>
          <w:sz w:val="18"/>
          <w:szCs w:val="18"/>
          <w:color w:val="0000EE"/>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You may also access these documents on our website, </w:t>
      </w:r>
      <w:r>
        <w:rPr>
          <w:rFonts w:ascii="Times New Roman" w:cs="Times New Roman" w:eastAsia="Times New Roman" w:hAnsi="Times New Roman"/>
          <w:sz w:val="18"/>
          <w:szCs w:val="18"/>
          <w:i w:val="1"/>
          <w:iCs w:val="1"/>
          <w:color w:val="auto"/>
        </w:rPr>
        <w:t>www.legendbiotech.com</w:t>
      </w:r>
      <w:r>
        <w:rPr>
          <w:rFonts w:ascii="Times New Roman" w:cs="Times New Roman" w:eastAsia="Times New Roman" w:hAnsi="Times New Roman"/>
          <w:sz w:val="18"/>
          <w:szCs w:val="18"/>
          <w:color w:val="auto"/>
        </w:rPr>
        <w:t>. The information contained on this website is not a part of this prospectus supplement.</w:t>
      </w:r>
    </w:p>
    <w:p>
      <w:pPr>
        <w:spacing w:after="0" w:line="93"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supplement and accompanying prospectus. We have not authorized anyone to provide you with information different from that contained in this prospectus supplement or incorporated by reference in this prospectus supplement and accompanying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97155</wp:posOffset>
            </wp:positionV>
            <wp:extent cx="2366010" cy="10033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236601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Legend Biotech Corporation</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Ordinary Shares</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American Depositary Shares representing Ordinary Shares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20"/>
        <w:spacing w:after="0" w:line="275" w:lineRule="auto"/>
        <w:rPr>
          <w:sz w:val="20"/>
          <w:szCs w:val="20"/>
          <w:color w:val="auto"/>
        </w:rPr>
      </w:pPr>
      <w:r>
        <w:rPr>
          <w:rFonts w:ascii="Times New Roman" w:cs="Times New Roman" w:eastAsia="Times New Roman" w:hAnsi="Times New Roman"/>
          <w:sz w:val="16"/>
          <w:szCs w:val="16"/>
          <w:color w:val="auto"/>
        </w:rPr>
        <w:t>We may offer and sell ordinary shares, including ordinary shares represented by American depositary shares, or ADSs, debt securities or warrants in any combination from time to time in one or more offerings, at prices and on terms described in one or more supplements to this prospectus. In addition, this prospectus may be used to offer securities for the account of persons other than us. We or any selling shareholder may also offer American Depositary Shares, or ADSs, representing ordinary shares upon conversion of or exchange for the debt securities or upon the exercise of the warrants.</w:t>
      </w:r>
    </w:p>
    <w:p>
      <w:pPr>
        <w:spacing w:after="0" w:line="142" w:lineRule="exact"/>
        <w:rPr>
          <w:sz w:val="20"/>
          <w:szCs w:val="20"/>
          <w:color w:val="auto"/>
        </w:rPr>
      </w:pPr>
    </w:p>
    <w:p>
      <w:pPr>
        <w:ind w:left="120"/>
        <w:spacing w:after="0" w:line="275" w:lineRule="auto"/>
        <w:rPr>
          <w:sz w:val="20"/>
          <w:szCs w:val="20"/>
          <w:color w:val="auto"/>
        </w:rPr>
      </w:pPr>
      <w:r>
        <w:rPr>
          <w:rFonts w:ascii="Times New Roman" w:cs="Times New Roman" w:eastAsia="Times New Roman" w:hAnsi="Times New Roman"/>
          <w:sz w:val="16"/>
          <w:szCs w:val="16"/>
          <w:color w:val="auto"/>
        </w:rPr>
        <w:t>Each time we or any selling shareholder sell securities, we will provide the specific terms of any offering in one or more supplements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and any accompanying prospectus supplement before you purchase any of the securities offered hereby.</w:t>
      </w:r>
    </w:p>
    <w:p>
      <w:pPr>
        <w:spacing w:after="0" w:line="142" w:lineRule="exact"/>
        <w:rPr>
          <w:sz w:val="20"/>
          <w:szCs w:val="20"/>
          <w:color w:val="auto"/>
        </w:rPr>
      </w:pPr>
    </w:p>
    <w:p>
      <w:pPr>
        <w:ind w:left="120" w:right="120"/>
        <w:spacing w:after="0" w:line="275" w:lineRule="auto"/>
        <w:rPr>
          <w:sz w:val="20"/>
          <w:szCs w:val="20"/>
          <w:color w:val="auto"/>
        </w:rPr>
      </w:pPr>
      <w:r>
        <w:rPr>
          <w:rFonts w:ascii="Times New Roman" w:cs="Times New Roman" w:eastAsia="Times New Roman" w:hAnsi="Times New Roman"/>
          <w:sz w:val="16"/>
          <w:szCs w:val="16"/>
          <w:color w:val="auto"/>
        </w:rPr>
        <w:t>We or any selling shareholder may sell the securities independently or together with any other securities registered hereunder to or through one or more underwriters, dealers and agents, or directly to purchasers, or through a combination of these methods, on a continuous or delayed basis. The names of any underwriters, dealers, or agents involved in the sale of our securities, their compensation and any over-allotment options held by them will be described in the applicable prospectus supplement. For a more complete description of the plan of distribution of these securities, see “Plan of Distribution” beginning on page 50 of this prospectus.</w:t>
      </w:r>
    </w:p>
    <w:p>
      <w:pPr>
        <w:spacing w:after="0" w:line="156" w:lineRule="exact"/>
        <w:rPr>
          <w:sz w:val="20"/>
          <w:szCs w:val="20"/>
          <w:color w:val="auto"/>
        </w:rPr>
      </w:pPr>
    </w:p>
    <w:p>
      <w:pPr>
        <w:ind w:left="120" w:right="20"/>
        <w:spacing w:after="0" w:line="298" w:lineRule="auto"/>
        <w:rPr>
          <w:sz w:val="20"/>
          <w:szCs w:val="20"/>
          <w:color w:val="auto"/>
        </w:rPr>
      </w:pPr>
      <w:r>
        <w:rPr>
          <w:rFonts w:ascii="Times New Roman" w:cs="Times New Roman" w:eastAsia="Times New Roman" w:hAnsi="Times New Roman"/>
          <w:sz w:val="16"/>
          <w:szCs w:val="16"/>
          <w:color w:val="auto"/>
        </w:rPr>
        <w:t>We are a “foreign private issuer” under applicable U.S. federal securities laws and are eligible for reduced public company reporting requirements. See “Our Company— Implications of Being a Foreign Private Issuer” for additional information.</w:t>
      </w:r>
    </w:p>
    <w:p>
      <w:pPr>
        <w:spacing w:after="0" w:line="124" w:lineRule="exact"/>
        <w:rPr>
          <w:sz w:val="20"/>
          <w:szCs w:val="20"/>
          <w:color w:val="auto"/>
        </w:rPr>
      </w:pPr>
    </w:p>
    <w:p>
      <w:pPr>
        <w:ind w:left="120" w:right="100"/>
        <w:spacing w:after="0" w:line="298" w:lineRule="auto"/>
        <w:rPr>
          <w:sz w:val="20"/>
          <w:szCs w:val="20"/>
          <w:color w:val="auto"/>
        </w:rPr>
      </w:pPr>
      <w:r>
        <w:rPr>
          <w:rFonts w:ascii="Times New Roman" w:cs="Times New Roman" w:eastAsia="Times New Roman" w:hAnsi="Times New Roman"/>
          <w:sz w:val="16"/>
          <w:szCs w:val="16"/>
          <w:color w:val="auto"/>
        </w:rPr>
        <w:t>Our ADSs are listed on the Nasdaq Global Select Market under the symbol “LEGN.” On March 18, 2024, the last reported sale price of the ADSs on the Nasdaq Global Select Market was $64.66 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181610</wp:posOffset>
            </wp:positionV>
            <wp:extent cx="1474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20" w:right="260"/>
        <w:spacing w:after="0" w:line="276" w:lineRule="auto"/>
        <w:rPr>
          <w:sz w:val="20"/>
          <w:szCs w:val="20"/>
          <w:color w:val="auto"/>
        </w:rPr>
      </w:pPr>
      <w:r>
        <w:rPr>
          <w:rFonts w:ascii="Times New Roman" w:cs="Times New Roman" w:eastAsia="Times New Roman" w:hAnsi="Times New Roman"/>
          <w:sz w:val="19"/>
          <w:szCs w:val="19"/>
          <w:b w:val="1"/>
          <w:bCs w:val="1"/>
          <w:color w:val="auto"/>
        </w:rPr>
        <w:t>Investing in our securities involves risks. You should carefully consider the risks incorporated by reference under the heading “</w:t>
      </w:r>
      <w:r>
        <w:rPr>
          <w:rFonts w:ascii="Times New Roman" w:cs="Times New Roman" w:eastAsia="Times New Roman" w:hAnsi="Times New Roman"/>
          <w:sz w:val="19"/>
          <w:szCs w:val="19"/>
          <w:b w:val="1"/>
          <w:bCs w:val="1"/>
          <w:u w:val="single" w:color="auto"/>
          <w:color w:val="0000EE"/>
        </w:rPr>
        <w:t>Risk Factors</w:t>
      </w:r>
      <w:r>
        <w:rPr>
          <w:rFonts w:ascii="Times New Roman" w:cs="Times New Roman" w:eastAsia="Times New Roman" w:hAnsi="Times New Roman"/>
          <w:sz w:val="19"/>
          <w:szCs w:val="19"/>
          <w:b w:val="1"/>
          <w:bCs w:val="1"/>
          <w:color w:val="auto"/>
        </w:rPr>
        <w:t>” on page 11 of this prospectus, in any accompanying prospectus supplement or in the documents incorporated by reference into this prospectus or any accompanying prospectus supplement before making a decision to invest in our securities.</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This prospectus may not be used to offer or sell any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226060</wp:posOffset>
            </wp:positionV>
            <wp:extent cx="1474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20" w:right="46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179705</wp:posOffset>
            </wp:positionV>
            <wp:extent cx="1474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The date of this prospectus is March 19, 2024.</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60" w:type="dxa"/>
            <w:vAlign w:val="bottom"/>
            <w:gridSpan w:val="17"/>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CAUTIONARY STATEMENT FORWARD-LOOKING STATEMENTS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522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544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58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908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SHARE CAPITAL AND ARTICLES OF ASSOCIATION</w:t>
            </w:r>
          </w:p>
        </w:tc>
        <w:tc>
          <w:tcPr>
            <w:tcW w:w="49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06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30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1300" w:type="dxa"/>
            <w:vAlign w:val="bottom"/>
            <w:tcBorders>
              <w:top w:val="single" w:sz="8" w:color="0000EE"/>
            </w:tcBorders>
            <w:gridSpan w:val="3"/>
          </w:tcPr>
          <w:p>
            <w:pPr>
              <w:spacing w:after="0"/>
              <w:rPr>
                <w:sz w:val="17"/>
                <w:szCs w:val="17"/>
                <w:color w:val="auto"/>
              </w:rPr>
            </w:pPr>
          </w:p>
        </w:tc>
        <w:tc>
          <w:tcPr>
            <w:tcW w:w="634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18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06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TAXATION</w:t>
            </w:r>
          </w:p>
        </w:tc>
        <w:tc>
          <w:tcPr>
            <w:tcW w:w="2500" w:type="dxa"/>
            <w:vAlign w:val="bottom"/>
            <w:tcBorders>
              <w:top w:val="single" w:sz="8" w:color="0000EE"/>
            </w:tcBorders>
            <w:gridSpan w:val="9"/>
          </w:tcPr>
          <w:p>
            <w:pPr>
              <w:spacing w:after="0"/>
              <w:rPr>
                <w:sz w:val="17"/>
                <w:szCs w:val="17"/>
                <w:color w:val="auto"/>
              </w:rPr>
            </w:pPr>
          </w:p>
        </w:tc>
        <w:tc>
          <w:tcPr>
            <w:tcW w:w="726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06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SELLING SHAREHOLDERS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844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862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106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500" w:type="dxa"/>
            <w:vAlign w:val="bottom"/>
            <w:gridSpan w:val="11"/>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9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 ABOUT US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426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OF DOCUMENTS BY REFERENCE</w:t>
            </w:r>
          </w:p>
        </w:tc>
        <w:tc>
          <w:tcPr>
            <w:tcW w:w="480" w:type="dxa"/>
            <w:vAlign w:val="bottom"/>
            <w:tcBorders>
              <w:top w:val="single" w:sz="8" w:color="0000EE"/>
            </w:tcBorders>
            <w:gridSpan w:val="2"/>
          </w:tcPr>
          <w:p>
            <w:pPr>
              <w:spacing w:after="0"/>
              <w:rPr>
                <w:sz w:val="17"/>
                <w:szCs w:val="17"/>
                <w:color w:val="auto"/>
              </w:rPr>
            </w:pPr>
          </w:p>
        </w:tc>
        <w:tc>
          <w:tcPr>
            <w:tcW w:w="592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F-3 that we filed with the Securities and Exchange Commission, or SEC, as a “well-known seasoned issuer” as defined in Rule 405 under the Securities Act of 1933, as amended, or the Securities Act, utilizing a “shelf” registration process. Under this shelf registration process, we or selling shareholders may offer our ordinary shares, including ADSs representing our ordinary shares, debt securities and/or warrants either individually or in combination with other securities, in one or more offerings. There is no limit on the aggregate amount of the securities that we or selling shareholders may offer pursuant to the registration statement of which this prospectus is a part. This prospectus provides you with a general description of the securities we or selling shareholders may offer.</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Each time we or selling shareholders offer to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Documents by Reference,” before investing in any of the securities offered.</w:t>
      </w:r>
    </w:p>
    <w:p>
      <w:pPr>
        <w:spacing w:after="0" w:line="18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prospectus to the terms “Legend,” “Legend Biotech,” “the Company,” “we,” “us” and “our” refer to Legend Biotech Corporation and its subsidiaries.</w:t>
      </w:r>
    </w:p>
    <w:p>
      <w:pPr>
        <w:spacing w:after="0" w:line="162"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Neither we, nor any selling shareholder, has authorized anyone to give any information or to make any representation other than those contained or incorporated by reference in this prospectus, any applicable prospectus supplement and any related free writing prospectus. You must not rely upon any information or representation not contained or incorporated by reference in this prospectus (as supplemented or amended), any applicable prospectus supplement or any related free writing prospectus as having been authorized by us. We and the selling shareholders are offering to sell, and seeking offers to buy, the securities only in jurisdictions where it is lawful to do so. This prospectus does not constitute an offer to sell or the solicitation of an offer to buy any securities other than the registered securities to which it relates, nor does this prospectus constitute an offer to sell or the solicitation of an offer to buy securities in any jurisdiction to any person to whom it is unlawful to make such offer or solicitation in such jurisdiction.</w:t>
      </w:r>
    </w:p>
    <w:p>
      <w:pPr>
        <w:spacing w:after="0" w:line="17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(as supplemented or amended),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(as supplemented or amended) is delivered, or securities are sold, on a later date. To the extent there is a conflict between the information contained in this prospectus, on the one hand, and the information contained in any document incorporated by reference filed with the SEC before the date of this prospectus, on the other hand, you should rely on the information in this prospectus. If any statement in a document incorporated by reference is inconsistent with a statement in another document incorporated by reference having a later date, the statement in the document having the later date modifies or supersedes the earlier statement.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were incorporated as an exempted company under the laws of the Cayman Islands and a majority of our outstanding securities are</w:t>
      </w:r>
    </w:p>
    <w:p>
      <w:pPr>
        <w:spacing w:after="0" w:line="2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owned by non-U.S. residents. Under the rules of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w:t>
      </w:r>
    </w:p>
    <w:p>
      <w:pPr>
        <w:spacing w:after="0" w:line="186"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contains summaries of certain provisions contained in some of the documents described herein, but reference is made to the actual documents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and covenants were accurate only as of the date when made; therefore, such representations, warranties and covenants should not be relied on as accurate representations of the current state of our affairs.</w:t>
      </w:r>
    </w:p>
    <w:p>
      <w:pPr>
        <w:spacing w:after="0" w:line="183" w:lineRule="exact"/>
        <w:rPr>
          <w:sz w:val="20"/>
          <w:szCs w:val="20"/>
          <w:color w:val="auto"/>
        </w:rPr>
      </w:pPr>
    </w:p>
    <w:p>
      <w:pPr>
        <w:ind w:left="120" w:right="140" w:firstLine="440"/>
        <w:spacing w:after="0" w:line="238" w:lineRule="auto"/>
        <w:rPr>
          <w:sz w:val="20"/>
          <w:szCs w:val="20"/>
          <w:color w:val="auto"/>
        </w:rPr>
      </w:pPr>
      <w:r>
        <w:rPr>
          <w:rFonts w:ascii="Times New Roman" w:cs="Times New Roman" w:eastAsia="Times New Roman" w:hAnsi="Times New Roman"/>
          <w:sz w:val="18"/>
          <w:szCs w:val="18"/>
          <w:color w:val="auto"/>
        </w:rPr>
        <w:t xml:space="preserve">“Legend Biotech,” the Legend logo and other trademarks or service marks of the Company appearing in this prospectus are the property of the Company. Solely for convenience, the trademarks, service marks and trade names referred to in this prospectus are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other similar symbols, but such references are not intended to indicate, in any way, that we will not assert, to the fullest extent under applicable law, our rights or the rights of the applicable licensors to these trademarks, service marks and trade names. CARVYKTI is a registered trademark in the United States of Johnson &amp; Johnson. Other trade names, trademarks and service marks of other companies appearing in this prospectus are the property of their respective holders. We do not intend our use or display of other companies’ trademarks, service marks or trade names to imply a relationship with, or endorsement or sponsorship of us by, any other person.</w:t>
      </w:r>
    </w:p>
    <w:p>
      <w:pPr>
        <w:spacing w:after="0" w:line="20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by reference in this prospectus have been prepared in accordance with the international financial reporting standards, as issued by the international accounting standards board, or the IASB. None of the financial information in this prospectus have been prepared in accordance with accounting principles generally accepted in the United States.</w:t>
      </w:r>
    </w:p>
    <w:p>
      <w:pPr>
        <w:spacing w:after="0" w:line="172"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For investors outside the United States: We have not done anything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described herein and the distribution of this prospectus outside the United States.</w:t>
      </w:r>
    </w:p>
    <w:p>
      <w:pPr>
        <w:spacing w:after="0" w:line="39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CONVENTIONS THAT APPLY TO THIS PROSPECTUS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this prospectus, unless otherwise indicated or unless the context otherwise requires,</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the American depositary shares, each of which represents two of our ordinary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are to the American depositary receipts that evidence the ADSs;</w:t>
      </w:r>
    </w:p>
    <w:p>
      <w:pPr>
        <w:spacing w:after="0" w:line="130"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refers to the People’s Republic of China, and solely in the context of describing PRC rules, laws, regulations and other legal and tax matters, excludes rules, laws, regulations and other legal and tax matters of the Hong Kong Special Administrative Region, the Macau Special Administrative Region and Taiwan, however, the legal and operational risks discussed by the Company with respect to operating in the PRC throughout this filing also apply to Hong Kong and Macau; “Greater China” does not exclude the Hong Kong Special Administrative Region, the Macau Special Administrative Region and Taiwan;</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to ordinary shares of our company, par value $0.0001 per share;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 or “dollars” are to the legal currency of the United States.</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References in any prospectus supplement to “the accompanying prospectus” are to this prospectus and references to “the prospectus” are to this prospectus and the applicable prospectus supplement taken together.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not making an offer to sell the securities in any jurisdiction where the offer or sale is not permitted.</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STATEMENT FORWARD-LOOKING STATEMENTS</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the documents incorporated by reference and any free writing prospectus prepared by or on behalf of us or to which we have referred you contain “forward-looking statements” within the meaning of Section 27A of the Securities Act of 1933, as amended, or the Securities Act, and Section 21E of the Exchange Act. These statements are based on our management’s current beliefs, expectations and assumptions about future events, conditions and results and on information currently available to us.</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“anticipate,” “believe,” “could,” “estimate,” “expects,” “intend,” “may,” “plan,” “potential,” “predict,” “project,” “should,” “will,” “would” or the negative or plural of those terms, and similar expressions intended to identify statements about the future, although not all forward-looking statements contain these words. These statements involve known and unknown risks, uncertainties and other factors that may cause our actual results, levels of activity, performance or achievements to be materially different from the information expressed or implied by these forward-looking statements.</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Any statements in this prospectus, the documents incorporated by reference or any free writing prospectus prepared by or on behalf of us or to which we have referred you about our expectations, beliefs, plans, objectives, assumptions or future events or performance are not historical facts and are forward-looking statements. Forward-looking statements may include, without limitation, statements regarding:</w:t>
      </w:r>
    </w:p>
    <w:p>
      <w:pPr>
        <w:spacing w:after="0" w:line="8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effectively manufacture, market and sell CARVYKTI;</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opportunity for and potential for commercial success of CARVYKTI;</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treatment with CARVYKTI and resulting regulatory investigations or label updates;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acceptable safety and efficacy of our product candidates, and other positive results;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clinical trials for product candidates we may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and likelihood of regulatory filings and approvals, including final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specified milestones under our collaboration with Janssen Biotech, Inc., a Johnson &amp; Johnson company, (“Janssen”) for cilta-cel or under other collaboration and license agreements we have entered into;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our current product candidates and programs into, and successfully complete,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commercialization, and marketing capabilities and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 including the geographic areas of focus and sales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personnel and our ability to attract, retain and motivate such personnel;</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including our estimates of the number of patients who suffer from the diseases we are targeting;</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approval and use of our product candidates as first, second or subsequent lines of therapy or in combination with other drugs;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that we will enroll in our clinical trials;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of our product candidates, including additional indications we may pursue;</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including the scope of protection we are able to establish and maintain for intellectual property rights covering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85"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negotiate favorable terms of, any collaboration, licensing or other arrangements that may be necessary or desirable to develop, manufacture or commercialize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the product candidates we may develop, if approved;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prices and availability of labor, transportation and raw materials, including as a result of inflation, and our ability to obtain them in a timely manner;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and the potential impact of risks inherent in our foreign operations, including currency fluctuations, exchange controls and pricing restrictions;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 candidates we may develop;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key information technology systems, networks, processes or related controls or those of our service providers;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consistently maintain effective internal control over financial reporting;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the resolution of tax contingencies resulting in additional tax liabilities;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estimate our existing cash and cash equivalents will be sufficient to fund our future operating expenses and capital expenditure requirements;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United States or foreign laws and regulations on the Company’s operations, including the impact of tariffs;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epidemics and pandemics, rising inflation rates, geopolitical tensions, the failure and instability of financial institutions, or other world events’ disruptions on our business, including, without limitation, our ability to manage the demand, supply and operational challenges associated with the actual or perceived effects of such disruptions.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These forward-looking statements reflect our current views with respect to future events, are based on assumptions and are subject to risks and uncertainties. Given these risks and uncertainties, you should not place undue reliance on these forward-looking statements. We discuss many of these risks, uncertainties and other factors in greater detail under the heading “Risk Factors” in this prospectus, the applicable prospectus supplement, any related free writing prospectus, and under similar headings in our Annual Report on Form 20-F for the fiscal year ended December 31, 2023, or the 2023 Annual Report, as updated by our subsequent filings, which are incorporated by reference into this prospectus. As a result of these factors, we cannot assure you that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the documents incorporated by reference or any free writing prospectus prepared by or on behalf of us or to which we have referred you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187"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(as supplemented or amended), the documents incorporated by reference or any free writing prospectus prepared by or on behalf of us or to which we have referred you completely and with the understanding that our actual future results may be materially different from what we expect. We qualify all of our forward-looking statements by these cautionary statements.</w:t>
      </w:r>
    </w:p>
    <w:p>
      <w:pPr>
        <w:spacing w:after="0" w:line="176"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80"/>
          </w:cols>
          <w:pgMar w:left="320" w:top="455"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61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6998970" cy="6261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We are primarily a global, clinical-stage biopharmaceutical company engaged in the discovery, development, manufacturing and commercialization of novel cell therapies for oncology and other indications. Our team of approximately 1,800 employees in the United States, China and Europe, our differentiated technology, global development and manufacturing strategy and expertise provide us with the ability to generate, test and manufacture next-generation cell therapies targeting indications with high unmet needs. Our lead product candidate, ciltacabtagene autoleucel, or cilta-cel (referred to as LCAR- B38M for purposes of our LEGEND-2 trial), is a CAR-T cell therapy we are jointly developing with our strategic partner, Janssen, for the treatment of multiple myeloma. Clinical trial results achieved to date demonstrate that cilta-cel has the potential to deliver deep and durable anti-tumor responses in relapsed and refractory multiple myeloma patients with a manageable safety profile.</w:t>
      </w:r>
    </w:p>
    <w:p>
      <w:pPr>
        <w:spacing w:after="0" w:line="192"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On February 28, 2022, cilta-cel was approved by the U.S. Food and Drug Administration under the trademark CARVYKTI for the treatment of adults with relapsed or refractory multiple myeloma who have received four or more prior lines of therapy, including a proteasome inhibitor, an immunomodulatory agent, and an anti-CD38 monoclonal antibody. We have established a sales, marketing and operational infrastructure to support the launch of CARVYKTI in the United States.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420" w:firstLine="426"/>
        <w:spacing w:after="0" w:line="312"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including those highlighted in the section titled “Risk Factors” immediately following this prospectus summary and in the section “Item3.D-Risk Factors” of our 2023 Annual Report. Some of these risks are:</w:t>
      </w:r>
    </w:p>
    <w:p>
      <w:pPr>
        <w:spacing w:after="0" w:line="2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the Commercialization of CARVYKTI and Our Other Product Candidates</w:t>
      </w:r>
    </w:p>
    <w:p>
      <w:pPr>
        <w:spacing w:after="0" w:line="133" w:lineRule="exact"/>
        <w:rPr>
          <w:sz w:val="20"/>
          <w:szCs w:val="20"/>
          <w:color w:val="auto"/>
        </w:rPr>
      </w:pPr>
    </w:p>
    <w:p>
      <w:pPr>
        <w:ind w:left="1240" w:right="860" w:hanging="415"/>
        <w:spacing w:after="0" w:line="282" w:lineRule="auto"/>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commercial success of CARVYKTI. If we are unable to successfully commercialize CARVYKTI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as a commercial company and the manufacture, marketing and sale of CARVYKTI or future products may be unsuccessful or have less success than anticipated.</w:t>
      </w:r>
    </w:p>
    <w:p>
      <w:pPr>
        <w:spacing w:after="0" w:line="67"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CARVYKTI, and of any future products, will depend upon the degree of market acceptance by physicians, third-party payors and others in the medical community.</w:t>
      </w:r>
    </w:p>
    <w:p>
      <w:pPr>
        <w:spacing w:after="0" w:line="67" w:lineRule="exact"/>
        <w:rPr>
          <w:rFonts w:ascii="Times New Roman" w:cs="Times New Roman" w:eastAsia="Times New Roman" w:hAnsi="Times New Roman"/>
          <w:sz w:val="18"/>
          <w:szCs w:val="18"/>
          <w:color w:val="auto"/>
        </w:rPr>
      </w:pPr>
    </w:p>
    <w:p>
      <w:pPr>
        <w:ind w:left="1240" w:right="400" w:hanging="415"/>
        <w:spacing w:after="0" w:line="266" w:lineRule="auto"/>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our product or any future products are smaller than we believe they are, and if we are not able to successfully identify patients and achieve significant market share, our revenues may be adversely affected and our business may suffer.</w:t>
      </w:r>
    </w:p>
    <w:p>
      <w:pPr>
        <w:spacing w:after="0" w:line="81"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side effects or other safety risks associated with CARVYKTI or any future products could limit the commercial profile of an approved label or result in significant negative consequences following marketing approval.</w:t>
      </w:r>
    </w:p>
    <w:p>
      <w:pPr>
        <w:spacing w:after="0" w:line="67"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create our own manufacturing infrastructure for supply of our requirements of products for use in clinical trials and for commercial sale.</w:t>
      </w:r>
    </w:p>
    <w:p>
      <w:pPr>
        <w:spacing w:after="0" w:line="67" w:lineRule="exact"/>
        <w:rPr>
          <w:rFonts w:ascii="Times New Roman" w:cs="Times New Roman" w:eastAsia="Times New Roman" w:hAnsi="Times New Roman"/>
          <w:sz w:val="18"/>
          <w:szCs w:val="18"/>
          <w:color w:val="auto"/>
        </w:rPr>
      </w:pPr>
    </w:p>
    <w:p>
      <w:pPr>
        <w:ind w:left="1240" w:right="40" w:hanging="415"/>
        <w:spacing w:after="0" w:line="289" w:lineRule="auto"/>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limited sales experience and limited capabilities for marketing and market access. We expect to continue to invest significant financial and management resources to establish necessary capabilities and infrastructure to support our commercial needs. If we are unable to establish these commercial capabilities, we may be unable to generate sufficient revenue to sustain our business.</w:t>
      </w:r>
    </w:p>
    <w:p>
      <w:pPr>
        <w:spacing w:after="0" w:line="27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55" w:right="6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703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6998970" cy="65703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rapidly changing industry and face significant competition.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risks.</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Our Business</w:t>
      </w:r>
    </w:p>
    <w:p>
      <w:pPr>
        <w:spacing w:after="0" w:line="133" w:lineRule="exact"/>
        <w:rPr>
          <w:sz w:val="20"/>
          <w:szCs w:val="20"/>
          <w:color w:val="auto"/>
        </w:rPr>
      </w:pPr>
    </w:p>
    <w:p>
      <w:pPr>
        <w:ind w:left="1240" w:right="600" w:hanging="415"/>
        <w:spacing w:after="0" w:line="282" w:lineRule="auto"/>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become and remain profitable may never be achieved due to the uncertainty of developing and commercializing complex therapies, and we may never achieve or maintain profitability.</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which has focused on research and development, makes it difficult to assess our future prospects.</w:t>
      </w:r>
    </w:p>
    <w:p>
      <w:pPr>
        <w:spacing w:after="0" w:line="130"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additional funding to complete the development of our product candidates, which may not be available on acceptable terms, if at all.</w:t>
      </w:r>
    </w:p>
    <w:p>
      <w:pPr>
        <w:spacing w:after="0" w:line="67" w:lineRule="exact"/>
        <w:rPr>
          <w:rFonts w:ascii="Times New Roman" w:cs="Times New Roman" w:eastAsia="Times New Roman" w:hAnsi="Times New Roman"/>
          <w:sz w:val="18"/>
          <w:szCs w:val="18"/>
          <w:color w:val="auto"/>
        </w:rPr>
      </w:pPr>
    </w:p>
    <w:p>
      <w:pPr>
        <w:jc w:val="both"/>
        <w:ind w:left="1240" w:right="280" w:hanging="415"/>
        <w:spacing w:after="0" w:line="266" w:lineRule="auto"/>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or manufacture raw materials or key starting materials necessary for product manufacture, such as lentiviral vectors, would adversely affect the clinical development and commercialization of these products, which could, in turn, adversely affect our sales and profitability.</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the Development of Our Product Candidates</w:t>
      </w:r>
    </w:p>
    <w:p>
      <w:pPr>
        <w:spacing w:after="0" w:line="133" w:lineRule="exact"/>
        <w:rPr>
          <w:sz w:val="20"/>
          <w:szCs w:val="20"/>
          <w:color w:val="auto"/>
        </w:rPr>
      </w:pPr>
    </w:p>
    <w:p>
      <w:pPr>
        <w:ind w:left="1240" w:right="520" w:hanging="415"/>
        <w:spacing w:after="0" w:line="282" w:lineRule="auto"/>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of the biopharmaceutical development process for novel and emergent treatment, including the uncertainty of outcomes of clinical trials, and the potential failure of product candidates to show safety or efficacy.</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to obtain or maintain regulatory approvals for our product candidates.</w:t>
      </w:r>
    </w:p>
    <w:p>
      <w:pPr>
        <w:spacing w:after="0" w:line="130" w:lineRule="exact"/>
        <w:rPr>
          <w:rFonts w:ascii="Times New Roman" w:cs="Times New Roman" w:eastAsia="Times New Roman" w:hAnsi="Times New Roman"/>
          <w:sz w:val="18"/>
          <w:szCs w:val="18"/>
          <w:color w:val="auto"/>
        </w:rPr>
      </w:pPr>
    </w:p>
    <w:p>
      <w:pPr>
        <w:ind w:left="1240" w:right="140" w:hanging="415"/>
        <w:spacing w:after="0" w:line="312" w:lineRule="auto"/>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primary research and development efforts are focused on cell therapies, including chimeric antigen receptor T cell therapies and chimeric antigen receptor natural killer cell therapies, which are emerging treatments that face significant challenges and hurdles.</w:t>
      </w:r>
    </w:p>
    <w:p>
      <w:pPr>
        <w:spacing w:after="0" w:line="45" w:lineRule="exact"/>
        <w:rPr>
          <w:rFonts w:ascii="Times New Roman" w:cs="Times New Roman" w:eastAsia="Times New Roman" w:hAnsi="Times New Roman"/>
          <w:sz w:val="17"/>
          <w:szCs w:val="17"/>
          <w:color w:val="auto"/>
        </w:rPr>
      </w:pPr>
    </w:p>
    <w:p>
      <w:pPr>
        <w:ind w:left="1240" w:hanging="415"/>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require significant preclinical study and clinical trials, which can be difficult to design and implement.</w:t>
      </w:r>
    </w:p>
    <w:p>
      <w:pPr>
        <w:spacing w:after="0" w:line="130"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side effects or other safety risks associated with our product candidates could delay or preclude approval, cause us to suspend or discontinue clinical trials, cause us to abandon product candidates, limit the commercial profile of an approved label or result in significant negative consequences following marketing approval.</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enrollment of patients in clinical trials for development of our product candidates.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investigator-initiated clinical trials and studies that we do not fully control.</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product opportunities may face limited market opportunities.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in the manufacture of complex cell therapies.</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Our Business Operations</w:t>
      </w:r>
    </w:p>
    <w:p>
      <w:pPr>
        <w:spacing w:after="0" w:line="133" w:lineRule="exact"/>
        <w:rPr>
          <w:sz w:val="20"/>
          <w:szCs w:val="20"/>
          <w:color w:val="auto"/>
        </w:rPr>
      </w:pPr>
    </w:p>
    <w:p>
      <w:pPr>
        <w:ind w:left="1240" w:hanging="415"/>
        <w:spacing w:after="0"/>
        <w:tabs>
          <w:tab w:leader="none" w:pos="1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regulatory and other risks associated with international operations.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difficulties in growing operations and attracting and retaining key personnel.</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potential acquisitions or strategic collaborations.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information technology systems.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various governmental laws and regulations may adversely affect our business.</w:t>
      </w:r>
    </w:p>
    <w:p>
      <w:pPr>
        <w:spacing w:after="0" w:line="3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320" w:top="455" w:right="6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503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tabs>
          <w:tab w:leader="none" w:pos="1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any failure to implement and maintain effective internal controls over financial reporting.</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our Dependence on Third Parties</w:t>
      </w:r>
    </w:p>
    <w:p>
      <w:pPr>
        <w:spacing w:after="0" w:line="133" w:lineRule="exact"/>
        <w:rPr>
          <w:sz w:val="20"/>
          <w:szCs w:val="20"/>
          <w:color w:val="auto"/>
        </w:rPr>
      </w:pPr>
    </w:p>
    <w:p>
      <w:pPr>
        <w:ind w:left="1240" w:hanging="415"/>
        <w:spacing w:after="0"/>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such as Janssen, for development, manufacturing and commercialization of our product candidates.</w:t>
      </w:r>
    </w:p>
    <w:p>
      <w:pPr>
        <w:spacing w:after="0" w:line="130"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our preclinical and clinical trials and the potential that such third parties may not perform satisfactorily.</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reagents, specialized equipment and other specialty materials.</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Regulatory Approval of Our Product Candidates and Other Legal Compliance Matters</w:t>
      </w:r>
    </w:p>
    <w:p>
      <w:pPr>
        <w:spacing w:after="0" w:line="133" w:lineRule="exact"/>
        <w:rPr>
          <w:sz w:val="20"/>
          <w:szCs w:val="20"/>
          <w:color w:val="auto"/>
        </w:rPr>
      </w:pPr>
    </w:p>
    <w:p>
      <w:pPr>
        <w:ind w:left="1240" w:hanging="415"/>
        <w:spacing w:after="0" w:line="266" w:lineRule="auto"/>
        <w:tabs>
          <w:tab w:leader="none" w:pos="1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and costs associated with complying with a rigorous, complex and evolving regulatory framework, including clinical trial regulations, pre-marketing regulatory requirements, pricing, reimbursement and cost-containment regulations, and ongoing regulation of approved products.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price controls in certain jurisdictions on our revenue and commercialization.</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Our Intellectual Property</w:t>
      </w:r>
    </w:p>
    <w:p>
      <w:pPr>
        <w:spacing w:after="0" w:line="133" w:lineRule="exact"/>
        <w:rPr>
          <w:sz w:val="20"/>
          <w:szCs w:val="20"/>
          <w:color w:val="auto"/>
        </w:rPr>
      </w:pPr>
    </w:p>
    <w:p>
      <w:pPr>
        <w:ind w:left="1240" w:right="340" w:hanging="415"/>
        <w:spacing w:after="0" w:line="282" w:lineRule="auto"/>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defend and enforce intellectual property rights in our products and disparities and uncertainties in intellectual property rights throughout the world.</w:t>
      </w:r>
    </w:p>
    <w:p>
      <w:pPr>
        <w:spacing w:after="0" w:line="67" w:lineRule="exact"/>
        <w:rPr>
          <w:rFonts w:ascii="Times New Roman" w:cs="Times New Roman" w:eastAsia="Times New Roman" w:hAnsi="Times New Roman"/>
          <w:sz w:val="18"/>
          <w:szCs w:val="18"/>
          <w:color w:val="auto"/>
        </w:rPr>
      </w:pPr>
    </w:p>
    <w:p>
      <w:pPr>
        <w:ind w:left="1240" w:right="440" w:hanging="415"/>
        <w:spacing w:after="0" w:line="282" w:lineRule="auto"/>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third party intellectual property rights, including the significant cost and complexity associated with intellectual property proceedings.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Doing Business in China</w:t>
      </w:r>
    </w:p>
    <w:p>
      <w:pPr>
        <w:spacing w:after="0" w:line="133" w:lineRule="exact"/>
        <w:rPr>
          <w:sz w:val="20"/>
          <w:szCs w:val="20"/>
          <w:color w:val="auto"/>
        </w:rPr>
      </w:pPr>
    </w:p>
    <w:p>
      <w:pPr>
        <w:ind w:left="1240" w:hanging="415"/>
        <w:spacing w:after="0"/>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doing business in China, including the impact of extensive Chinese regulation on the pharmaceutical industry.</w:t>
      </w:r>
    </w:p>
    <w:p>
      <w:pPr>
        <w:spacing w:after="0" w:line="130"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heightened level of government involvement in the Chinese economy and uncertainties regarding legal protections in the PRC legal system.</w:t>
      </w:r>
    </w:p>
    <w:p>
      <w:pPr>
        <w:spacing w:after="0" w:line="67"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governmental authorities may take measures having influence on our operations, which could result in a material change in our operations and significantly and adversely impact the value of our ADSs.</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 of loans and direct investment by offshore holding companies to PRC entities may delay or prevent us from making loans or additional capital contributions to our PRC operating subsidiaries.</w:t>
      </w:r>
    </w:p>
    <w:p>
      <w:pPr>
        <w:spacing w:after="0" w:line="67" w:lineRule="exact"/>
        <w:rPr>
          <w:rFonts w:ascii="Times New Roman" w:cs="Times New Roman" w:eastAsia="Times New Roman" w:hAnsi="Times New Roman"/>
          <w:sz w:val="18"/>
          <w:szCs w:val="18"/>
          <w:color w:val="auto"/>
        </w:rPr>
      </w:pPr>
    </w:p>
    <w:p>
      <w:pPr>
        <w:ind w:left="1240" w:hanging="415"/>
        <w:spacing w:after="0" w:line="256" w:lineRule="auto"/>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may exert more control over offerings conducted outside the PRC and/or investment by non-PRC investors in issuers with operations in China, which could materially and adversely affect our operations in the PRC, and could significantly limit, delay or hinder our ability to offer or continue to offer securities to investors, or cause the value of such securities to significantly decline. For example, the approval of, or filing or other procedures with, the CSRC or other governmental authority may be required in connection with issuing our equity securities outside of the PRC under Chinese law, and, if required, we cannot predict whether we will be able, or how long it will take us, to obtain such approval or complete such filing or other procedures.</w:t>
      </w:r>
    </w:p>
    <w:p>
      <w:pPr>
        <w:spacing w:after="0" w:line="92"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regulations relating to offshore investment activities by PRC residents and enterprises may increase our administrative burden and restrict our non-PRC and cross-border investment activity.</w:t>
      </w:r>
    </w:p>
    <w:p>
      <w:pPr>
        <w:spacing w:after="0" w:line="28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0"/>
          </w:cols>
          <w:pgMar w:left="320" w:top="455" w:right="7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020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Monetary, economic, political, environmental, social, and trade disputes between the U.S. and China.</w:t>
      </w:r>
    </w:p>
    <w:p>
      <w:pPr>
        <w:spacing w:after="0" w:line="130" w:lineRule="exact"/>
        <w:rPr>
          <w:rFonts w:ascii="Times New Roman" w:cs="Times New Roman" w:eastAsia="Times New Roman" w:hAnsi="Times New Roman"/>
          <w:sz w:val="18"/>
          <w:szCs w:val="18"/>
          <w:color w:val="auto"/>
        </w:rPr>
      </w:pPr>
    </w:p>
    <w:p>
      <w:pPr>
        <w:jc w:val="both"/>
        <w:ind w:left="1240" w:right="560" w:hanging="415"/>
        <w:spacing w:after="0" w:line="266" w:lineRule="auto"/>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heightened level of actions by the U.S. government in targeting Chinese companies and, in the biotech industry, the U.S. government seeking to implement heightened supply chain security for sourcing from China and limitations on the transfer of technology to recipients within China.</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Our Organizational Structure</w:t>
      </w:r>
    </w:p>
    <w:p>
      <w:pPr>
        <w:spacing w:after="0" w:line="133" w:lineRule="exact"/>
        <w:rPr>
          <w:sz w:val="20"/>
          <w:szCs w:val="20"/>
          <w:color w:val="auto"/>
        </w:rPr>
      </w:pPr>
    </w:p>
    <w:p>
      <w:pPr>
        <w:ind w:left="1240" w:hanging="415"/>
        <w:spacing w:after="0"/>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organizational structure may create significant conflicts of interest.</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GenScript Biotech Corporation’s, or GenScript, significant control over us as our largest shareholder.</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more limited protections afforded to shareholders as a result of our status as a foreign private issuer.</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Our Securities</w:t>
      </w:r>
    </w:p>
    <w:p>
      <w:pPr>
        <w:spacing w:after="0" w:line="133" w:lineRule="exact"/>
        <w:rPr>
          <w:sz w:val="20"/>
          <w:szCs w:val="20"/>
          <w:color w:val="auto"/>
        </w:rPr>
      </w:pPr>
    </w:p>
    <w:p>
      <w:pPr>
        <w:ind w:left="1240" w:right="160" w:hanging="415"/>
        <w:spacing w:after="0" w:line="312" w:lineRule="auto"/>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owning our ADSs, including volatility in our trading price due to our business and financial performance, potential tax consequences and risks from dilution of our ADSs and ordinary shares if we issue additional ADSs or other securities.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300" w:firstLine="426"/>
        <w:spacing w:after="0" w:line="266" w:lineRule="auto"/>
        <w:rPr>
          <w:sz w:val="20"/>
          <w:szCs w:val="20"/>
          <w:color w:val="auto"/>
        </w:rPr>
      </w:pPr>
      <w:r>
        <w:rPr>
          <w:rFonts w:ascii="Times New Roman" w:cs="Times New Roman" w:eastAsia="Times New Roman" w:hAnsi="Times New Roman"/>
          <w:sz w:val="18"/>
          <w:szCs w:val="18"/>
          <w:color w:val="auto"/>
        </w:rPr>
        <w:t>We are an exempted company incorporated in the Cayman Islands with limited liability. We commenced our operations in China in November 2014 as a wholly owned subsidiary of GenScript. In May 2015, we incorporated Legend Biotech Corporation under the laws of the Cayman Islands, which became our ultimate holding company through a series of transactions.</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2101 Cottontail Lane, Somerset, New Jersey 08873. Our telephone number at this address is</w:t>
      </w:r>
    </w:p>
    <w:p>
      <w:pPr>
        <w:spacing w:after="0" w:line="27" w:lineRule="exact"/>
        <w:rPr>
          <w:sz w:val="20"/>
          <w:szCs w:val="20"/>
          <w:color w:val="auto"/>
        </w:rPr>
      </w:pPr>
    </w:p>
    <w:p>
      <w:pPr>
        <w:ind w:left="300" w:right="20" w:hanging="2"/>
        <w:spacing w:after="0" w:line="255" w:lineRule="auto"/>
        <w:tabs>
          <w:tab w:leader="none" w:pos="7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317-5050. Our registered office in the Cayman Islands is located at 4th Floor, Harbour Place, 103 South Church Street, P.O. Box 10240, Grand Cayman KY1-1002, Cayman Islands. Investors should submit any inquiries to the address and telephone number of our principal executive offices set forth above.</w: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main website is www.legendbiotech.com. The information contained on this website is not a part of this prospectus.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defined by the SEC. As a result, in accordance with Nasdaq rules, we comply with home country governance requirements and certain exemptions thereunder rather than complying with Nasdaq corporate governance standards. While we expect to voluntarily follow most Nasdaq corporate governance rules, we may choose to take advantage of the following limited exemptions:</w:t>
      </w:r>
    </w:p>
    <w:p>
      <w:pPr>
        <w:spacing w:after="0" w:line="81" w:lineRule="exact"/>
        <w:rPr>
          <w:sz w:val="20"/>
          <w:szCs w:val="20"/>
          <w:color w:val="auto"/>
        </w:rPr>
      </w:pPr>
    </w:p>
    <w:p>
      <w:pPr>
        <w:ind w:left="1240" w:right="420" w:hanging="415"/>
        <w:spacing w:after="0" w:line="282" w:lineRule="auto"/>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filing quarterly reports on Form 10-Q containing unaudited financial and other specified information or current reports on Form 8-K upon the occurrence of specified significant events;</w:t>
      </w:r>
    </w:p>
    <w:p>
      <w:pPr>
        <w:spacing w:after="0" w:line="67"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Section 16 rules requiring insiders to file public reports of their securities ownership and trading activities and providing for liability for insiders who profit from trades in a short period of time;</w:t>
      </w:r>
    </w:p>
    <w:p>
      <w:pPr>
        <w:spacing w:after="0" w:line="67" w:lineRule="exact"/>
        <w:rPr>
          <w:rFonts w:ascii="Times New Roman" w:cs="Times New Roman" w:eastAsia="Times New Roman" w:hAnsi="Times New Roman"/>
          <w:sz w:val="18"/>
          <w:szCs w:val="18"/>
          <w:color w:val="auto"/>
        </w:rPr>
      </w:pPr>
    </w:p>
    <w:p>
      <w:pPr>
        <w:ind w:left="1240" w:right="800" w:hanging="415"/>
        <w:spacing w:after="0" w:line="282" w:lineRule="auto"/>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for the Nasdaq listing rules applicable to domestic issuers requiring disclosure within four business days of any determination to grant a waiver of the code of business conduct and ethics to directors and officers;</w:t>
      </w:r>
    </w:p>
    <w:p>
      <w:pPr>
        <w:spacing w:after="0" w:line="28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40"/>
          </w:cols>
          <w:pgMar w:left="320" w:top="455" w:right="7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7990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6998970" cy="27990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180" w:hanging="415"/>
        <w:spacing w:after="0" w:line="282" w:lineRule="auto"/>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obtain shareholder approval for certain issuances of securities, including shareholder approval of share option plans;</w:t>
      </w:r>
    </w:p>
    <w:p>
      <w:pPr>
        <w:spacing w:after="0" w:line="67" w:lineRule="exact"/>
        <w:rPr>
          <w:rFonts w:ascii="Times New Roman" w:cs="Times New Roman" w:eastAsia="Times New Roman" w:hAnsi="Times New Roman"/>
          <w:sz w:val="18"/>
          <w:szCs w:val="18"/>
          <w:color w:val="auto"/>
        </w:rPr>
      </w:pPr>
    </w:p>
    <w:p>
      <w:pPr>
        <w:ind w:left="1240" w:right="880" w:hanging="415"/>
        <w:spacing w:after="0" w:line="282" w:lineRule="auto"/>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audit committee have review and oversight responsibilities over all “related party transactions,” as defined in Item 7.B. of Form 20-F;</w:t>
      </w:r>
    </w:p>
    <w:p>
      <w:pPr>
        <w:spacing w:after="0" w:line="67"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board have a compensation committee that is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240" w:right="160" w:hanging="415"/>
        <w:spacing w:after="0" w:line="261" w:lineRule="auto"/>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of directors, either by (1) independent directors constituting a majority of our board of directors’ independent directors in a vote in which only independent directors participate, or (2) a committee comprised solely of independent directors, and that a formal written charter or board resolution, as applicable, addressing the nominations process is adopted.</w:t>
      </w:r>
    </w:p>
    <w:p>
      <w:pPr>
        <w:spacing w:after="0" w:line="180"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We currently rely on foreign private issuer exemptions to Nasdaq Rules 5605(d) and 5605(e), as currently only two of the three members of each of our compensation committee and nominating and corporate governance committee are independent directors. Additionally, we may in the future rely on additional foreign private issuer exemptions, including exemptions allowing for less than a majority of our board of directors to consist of independent directors, and so fewer board members would be exercising independent judgment and the level of board oversight on the management of our company may decrease as a result. The foreign private issuer exemptions do not modify the independence requirements for the audit committee.</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Investing in our securities involves a high degree of risk. You should carefully review the risks and uncertainties described under the heading “Risk Factors” in Item 3.D. to the 2023 Annual Report incorporated by reference in this prospectus, as the same may be amended, supplemented or superseded by the risks and uncertainties described under similar headings in the applicable prospectus supplement and other documents that filed after the date hereof and incorporated by reference into this prospectus and any accompanying prospectus supplement, before deciding whether to purchase any of the securities being offered. Each of the risk factors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17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Please see “Where You Can Find More Information” and “Incorporation of Documents by Reference” for information on where you can find the documents we have filed with or furnished to the SEC and which are incorporated into this prospectus by reference.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or in any free writing prospectus that we may authorized to be provided to you in connection with a specific offering, we intend to use any net proceeds from the sale of securities under this prospectus to fund activities relating to the continued research and clinical development, manufacture or commercialization of our product candidates and for other general corporate purposes, including, but not limited to, working capital, capital expenditures, investments, acquisitions, should we choose to pursue any, and collaborations.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and interest-bearing securities.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SHARE CAPITAL AND ARTICLES OF ASSOCIATION</w:t>
      </w:r>
    </w:p>
    <w:p>
      <w:pPr>
        <w:spacing w:after="0" w:line="22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are a Cayman Islands exempted company incorporated with limited liability and our affairs are governed by our Third Amended and Restated Memorandum and Articles of Association, or our Memorandum and Articles, the Companies Act (as amended) of the Cayman Islands, which we refer to as the Companies Act below and the common law by the Cayman Islands.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the date of this prospectus, our authorized share capital is $200,000 divided into 2,000,000,000 shares, of which (i) 1,999,000,000 are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designated as ordinary shares of a par value of $0.0001 each and (ii) 1,000,000 of such class or classes (however designated) of shares, par value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$0.0001 each, as our board of directors may determine in accordance with our Memorandum and Articles. All of our issued and outstanding ordinary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are fully paid.</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2023, we had 363,822,069 ordinary shares issued and outstanding.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Qualifications, and Differences Between Classes of Shares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board of directors may, without further action by our shareholders, fix the rights, preferences, privileges, and restrictions of up to an aggregate of 1,000,000 other shares, including preference shares, in one or more classes or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ordinary shares. The issuance of our other shares, including potentially preference shares, could adversely affect the voting power of holders of ADSs and the likelihood that such holders will receive dividend payments and payments upon liquidation. In addition, the issuance of other shares, including preference shares, could have the effect of delaying, deferring, or preventing a change of control or other corporate action. We have no present plan to issue any preference shares.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 of Other Types of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 of Ordinary Shares</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Memorandum and Articles, and of the Companies Act, insofar as they relate to the material terms of our ordinary shares.</w:t>
      </w:r>
    </w:p>
    <w:p>
      <w:pPr>
        <w:spacing w:after="0" w:line="160"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Objects of Our Company. </w:t>
      </w:r>
      <w:r>
        <w:rPr>
          <w:rFonts w:ascii="Times New Roman" w:cs="Times New Roman" w:eastAsia="Times New Roman" w:hAnsi="Times New Roman"/>
          <w:sz w:val="18"/>
          <w:szCs w:val="18"/>
          <w:color w:val="auto"/>
        </w:rPr>
        <w:t>Under our Memorandum and Articles, the objects of our company are unrestricted and we have the full power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to carry out any object not prohibited by the law of the Cayman Islands.</w:t>
      </w:r>
    </w:p>
    <w:p>
      <w:pPr>
        <w:spacing w:after="0" w:line="158" w:lineRule="exact"/>
        <w:rPr>
          <w:sz w:val="20"/>
          <w:szCs w:val="20"/>
          <w:color w:val="auto"/>
        </w:rPr>
      </w:pPr>
    </w:p>
    <w:p>
      <w:pPr>
        <w:ind w:left="120" w:right="3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Ordinary Shares. </w:t>
      </w:r>
      <w:r>
        <w:rPr>
          <w:rFonts w:ascii="Times New Roman" w:cs="Times New Roman" w:eastAsia="Times New Roman" w:hAnsi="Times New Roman"/>
          <w:sz w:val="18"/>
          <w:szCs w:val="18"/>
          <w:color w:val="auto"/>
        </w:rPr>
        <w:t>Our ordinary shares are issued in registered form and are issued when registered in our register of shareholders. We may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 shares to bearer. Our shareholders who are nonresidents of the Cayman Islands may freely hold and vote their shares.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Amended and Restated Memorandum and Articles of Association</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Memorandum and Articles, and of the Companies Act, insofar as they relate to the material terms of our ordinary shares.</w:t>
      </w:r>
    </w:p>
    <w:p>
      <w:pPr>
        <w:spacing w:after="0" w:line="160"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Objects of Our Company. </w:t>
      </w:r>
      <w:r>
        <w:rPr>
          <w:rFonts w:ascii="Times New Roman" w:cs="Times New Roman" w:eastAsia="Times New Roman" w:hAnsi="Times New Roman"/>
          <w:sz w:val="18"/>
          <w:szCs w:val="18"/>
          <w:color w:val="auto"/>
        </w:rPr>
        <w:t>Under our Memorandum and Articles, the objects of our company are unrestricted and we have the full power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to carry out any object not prohibited by the law of the Cayman Islands.</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Ordinary Shares. </w:t>
      </w:r>
      <w:r>
        <w:rPr>
          <w:rFonts w:ascii="Times New Roman" w:cs="Times New Roman" w:eastAsia="Times New Roman" w:hAnsi="Times New Roman"/>
          <w:sz w:val="18"/>
          <w:szCs w:val="18"/>
          <w:color w:val="auto"/>
        </w:rPr>
        <w:t>Our ordinary shares are issued in registered form and are issued when registered in our register of shareholders. We may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 shares to bearer. Our shareholders who are nonresidents of the Cayman Islands may freely hold and vote their shares.</w:t>
      </w:r>
    </w:p>
    <w:p>
      <w:pPr>
        <w:spacing w:after="0" w:line="15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our ordinary shares are entitled to such dividends as may be declared by our board of directors. In addition,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may declare dividends by ordinary resolution, but no dividend shall exceed the amount recommended by our directors. Our Memorandum and Articles provide that 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and pending such application may in the absolute discretion of the directors, either be employed in the business of the company or be invested in such investments (other than shares of the company) as the directors may from time to time think fit. Under the law of the Cayman Islands, our company may pay a dividend out of either profit or the credit standing in our company’s share premium account, provided that in no circumstances may a dividend be paid if this would result in our company being unable to pay its debts as they fall due in the ordinary course of business immediately following the date on which the distribution or dividend is paid. No dividend shall bear interest against the company.</w:t>
      </w:r>
    </w:p>
    <w:p>
      <w:pPr>
        <w:spacing w:after="0" w:line="185"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our ordinary shares shall be entitled to one vote per ordinary share held by such holder of ordinary shares. Voting 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meeting is by show of hands unless a poll is demanded (before or on the declaration of the result of the show of hands). A poll may be demanded by the chairman of such meeting or any one or more shareholders which are present in person or by proxy at the meeting.</w:t>
      </w:r>
    </w:p>
    <w:p>
      <w:pPr>
        <w:spacing w:after="0" w:line="17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a change of name or making changes to our Memorandum and Articles. Holders of the ordinary shares may, among other things, divide or combine their shares by ordinary resolution.</w:t>
      </w:r>
    </w:p>
    <w:p>
      <w:pPr>
        <w:spacing w:after="0" w:line="17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Meetings of Shareholders. </w:t>
      </w:r>
      <w:r>
        <w:rPr>
          <w:rFonts w:ascii="Times New Roman" w:cs="Times New Roman" w:eastAsia="Times New Roman" w:hAnsi="Times New Roman"/>
          <w:sz w:val="18"/>
          <w:szCs w:val="18"/>
          <w:color w:val="auto"/>
        </w:rPr>
        <w:t>As a Cayman Islands exempted company, we are not obliged by the Companies Act to call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general meetings. Our Memorandum and Articles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8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Shareholders’ general meetings may be convened by the chairman or a majority of our board of directors or on request of the shareholders holding at the date of deposit of such request in aggregate not less than one-third of the aggregate number of votes attaching to all issued and outstanding shares of the company as at the date of the deposit. Advance notice of at least ten calendar days is required for the convening of our annual general shareholders’ meeting (if any) and any other general meeting of our shareholders. Every notice shall be exclusive of the day on which it is given or deemed to be given and of the day for which it is given. At least two holders of shares being not less than an aggregate of fifty percent (50%) of all votes attaching to all shares in issue and entitled to vote present in person or by proxy shall be a quorum for all purposes.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provide that upon the requisition of shareholders representing in aggregate not less than one-third of the votes attaching to the issued and outstanding shares of our company entitled to vote at general meetings, our board will convene an extraordinary general meeting and put the resolutions so requisitioned to a vote at such meeting. Shareholders seeking to bring business before the annual general meeting or to nominate candidates for election to our board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of directors at the annual general meeting are required to deliver notice not later than the 90th day nor earlier than the 120th day prior to the scheduled date of the annual general meeting.</w:t>
      </w:r>
    </w:p>
    <w:p>
      <w:pPr>
        <w:spacing w:after="0" w:line="160"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On the winding up of our company, if the assets available for distribution amongst our shareholders shall be more than sufficient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shares held by them.</w:t>
      </w:r>
    </w:p>
    <w:p>
      <w:pPr>
        <w:spacing w:after="0" w:line="18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Calls on Shares and Forfeiture of Shares. </w:t>
      </w:r>
      <w:r>
        <w:rPr>
          <w:rFonts w:ascii="Times New Roman" w:cs="Times New Roman" w:eastAsia="Times New Roman" w:hAnsi="Times New Roman"/>
          <w:sz w:val="18"/>
          <w:szCs w:val="18"/>
          <w:color w:val="auto"/>
        </w:rPr>
        <w:t>Our board of directors may from time to time make calls upon shareholders for any amounts unpaid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shares in a notice served to such shareholders at least 14 days prior to the specified time and place of payment. The shares that have been called upon and remain unpaid are subject to forfeiture. A call shall be deemed to have been made at the time when the resolution of the board of directors authorizing such call was passed.</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Redemption, Repurchase and Surrender of Shares. </w:t>
      </w:r>
      <w:r>
        <w:rPr>
          <w:rFonts w:ascii="Times New Roman" w:cs="Times New Roman" w:eastAsia="Times New Roman" w:hAnsi="Times New Roman"/>
          <w:sz w:val="18"/>
          <w:szCs w:val="18"/>
          <w:color w:val="auto"/>
        </w:rPr>
        <w:t>Our ordinary shares are not subject to redemption by operation of a sinking fund or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may issue shares on terms that such shares are subject to redemption, at our option or at the option of the holders of these shares, on such terms and in such manner as may be determined by our board of directors. We may also repurchase any of our shares (including any redeemable shares) on such terms and in such manner as have been approved by our board of directors or by an ordinary resolution of our shareholders. Under the Companies Act, the redemption or repurchase of any share may be paid out of our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8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will have no general right under Cayman Islands law to inspect or obtain copies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corporate records (except for our Memorandum and Articles, any special resolutions passed by our company and the register of mortgages and charges of our company). The names of the directors of the Company may also be obtained. However, we will provide our shareholders with annual audited financial statements.</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Exempted Company. </w:t>
      </w:r>
      <w:r>
        <w:rPr>
          <w:rFonts w:ascii="Times New Roman" w:cs="Times New Roman" w:eastAsia="Times New Roman" w:hAnsi="Times New Roman"/>
          <w:sz w:val="18"/>
          <w:szCs w:val="18"/>
          <w:color w:val="auto"/>
        </w:rPr>
        <w:t>We are an exempted company with limited liability under the Companies Act. The Companies Act distinguishes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87"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shares with no par value;</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30 years in the first instance);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5"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of Ordinary Shares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Subject to the restrictions set out below, any of our shareholders may transfer all or any of his or her ordinary shares by an instrument of transfer in the usual or common form or any other form approved by our board of directors.</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67" w:lineRule="exact"/>
        <w:rPr>
          <w:sz w:val="20"/>
          <w:szCs w:val="20"/>
          <w:color w:val="auto"/>
        </w:rPr>
      </w:pPr>
    </w:p>
    <w:p>
      <w:pPr>
        <w:ind w:left="1080" w:right="54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 and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Global Select Market may determine to be payable or such lesser sum as our directors may from time to time require is paid to us in respect thereof.</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with the company, send to each of the transferor and the transferee notice of such refusal.</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The Nasdaq Select Global Market, be suspended and the register closed at such times and for such periods as our board of directors may in their absolute discretion from time to time determine, provided always, however, that the registration of transfers shall not be suspended nor the register closed for more than 30 days in any year.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Variations of Rights of Shares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the holders of three-fourths of the issued shares of that class or series or with the sanction of a special resolution passed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existing class of shares, or with preferred or other rights including, without limitation, the creation of shares with enhanced or weighted voting rights.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of Additional Shares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Memorandum and Articles authorizes our board of directors to issue additional ordinary shares from time to time as our board of directors shall determine, to the extent of available authorized but unissued shares.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Memorandum and Articles also authorizes our board of directors to establish from time to time one or more series of preference shares and to determine, with respect to any series of preference shares, the terms and rights of that series, including:</w:t>
      </w:r>
    </w:p>
    <w:p>
      <w:pPr>
        <w:spacing w:after="0" w:line="67"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and voting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and other special rights.</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preference shares without action by our shareholders to the extent authorized but unissued. Issuance of these shares may dilute the voting power of holders of ordinary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Some provisions of our Memorandum and Articles may discourage, delay or prevent a change of control of our company or management that shareholders may consider favorable, including provisions that:</w:t>
      </w:r>
    </w:p>
    <w:p>
      <w:pPr>
        <w:spacing w:after="0" w:line="67" w:lineRule="exact"/>
        <w:rPr>
          <w:sz w:val="20"/>
          <w:szCs w:val="20"/>
          <w:color w:val="auto"/>
        </w:rPr>
      </w:pPr>
    </w:p>
    <w:p>
      <w:pPr>
        <w:ind w:left="1080" w:right="22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cancel or postpone any duly convened general meeting at any time prior to such meeting (except for general meetings requisitioned by shareholders holding, at the date of the deposit of any request for a general meeting, in aggregate not less than one-third of the aggregate number of votes attaching to all issued and outstanding shares of the company as at the date of the deposit.</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for a proper purpose and for what they believe in good faith to be in the best interests of our company in accordance with their fiduciary duties under Cayman Islands law.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18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mergers and consolidations between Cayman Islands companies and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signed by a director (or the equivalent position of the non-Cayman Islands company) and filed with the Registrar of Companies of the Cayman Islands together with, among other things,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of each class of creditors with whom the arrangement is to be made, and who must in addition represent three-fourths in value of each such class of creditors or the arrangement is approved by three-fourths in value of the shareholders or each such class of shareholders,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94"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dissentient minority shareholder upon a tender offer. When a tender offer is made and accepted by holders of 90.0% of the shares affected within four months, the offeror may, within a two-month period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commencing on the expiration of such four 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 as a company, and as a general rule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91"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 does not limit the extent to which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pacing w:after="0" w:line="182"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Our Memorandum and Articles provide that we shall indemnify our officers and directors against all actions, proceedings, costs, charges, expenses, losses, damages or liabilities incurred or sustained by such directors or officers,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8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Memorandum and Articles.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 fiduciary duty to the corporation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9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Shareholder Action by Written Resolution. </w:t>
      </w:r>
      <w:r>
        <w:rPr>
          <w:rFonts w:ascii="Times New Roman" w:cs="Times New Roman" w:eastAsia="Times New Roman" w:hAnsi="Times New Roman"/>
          <w:sz w:val="18"/>
          <w:szCs w:val="18"/>
          <w:color w:val="auto"/>
        </w:rPr>
        <w:t>Under the Delaware General Corporation Law, a corporation may eliminate the right of shareholders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by written consent by amendment to its certificate of incorporation. Our Memorandum and Articles provide that no action shall be taken by the shareholders except at an annual or extraordinary general meeting called in accordance with our Memorandum and Articles and no action shall be taken by the shareholders by written consent or electronic transmission, subject to the Companies Act.</w:t>
      </w:r>
    </w:p>
    <w:p>
      <w:pPr>
        <w:spacing w:after="0" w:line="180" w:lineRule="exact"/>
        <w:rPr>
          <w:sz w:val="20"/>
          <w:szCs w:val="20"/>
          <w:color w:val="auto"/>
        </w:rPr>
      </w:pPr>
    </w:p>
    <w:p>
      <w:pPr>
        <w:jc w:val="both"/>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 put any proposal before the annual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However, these rights may be provided in a company’s articles of association. Our Memorandum and Articles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As an exempted Cayman Islands company, we may but are not obliged by law to call shareholders’ annual general meetings.</w:t>
      </w:r>
    </w:p>
    <w:p>
      <w:pPr>
        <w:spacing w:after="0" w:line="3"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See “-Our Memorandum and Articles -General Meetings of Shareholders” for more information on the rights of our shareholders’ rights to put proposals before the annual general meeting.</w:t>
      </w:r>
    </w:p>
    <w:p>
      <w:pPr>
        <w:spacing w:after="0" w:line="17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 directors is not permitted unless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power with respect to electing such director. There are no prohibitions in relation to cumulative voting under the law of the Cayman Islands but our Memorandum and Articles do not provide for cumulative voting. As a result, our shareholders are not afforded any less protections or rights on this issue than shareholders of a Delaware corporation.</w:t>
      </w:r>
    </w:p>
    <w:p>
      <w:pPr>
        <w:spacing w:after="0" w:line="182"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 classified board may be removed only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with the approval of a majority of the outstanding shares entitled</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7" w:lineRule="auto"/>
        <w:rPr>
          <w:sz w:val="20"/>
          <w:szCs w:val="20"/>
          <w:color w:val="auto"/>
        </w:rPr>
      </w:pPr>
      <w:r>
        <w:rPr>
          <w:rFonts w:ascii="Times New Roman" w:cs="Times New Roman" w:eastAsia="Times New Roman" w:hAnsi="Times New Roman"/>
          <w:sz w:val="18"/>
          <w:szCs w:val="18"/>
          <w:color w:val="auto"/>
        </w:rPr>
        <w:t>to vote, unless the certificate of incorporation provides otherwise. Under our Memorandum and Articles, directors may be removed only for cause by an ordinary resolution of our shareholders. In addition, a director’s office shall be vacated if the director (i) becomes bankrupt or makes any arrangement or composition with his creditors; (ii) is found to be or becomes of unsound mind or dies; (iii) resigns his office by notice in writing to the company;</w:t>
      </w:r>
    </w:p>
    <w:p>
      <w:pPr>
        <w:spacing w:after="0" w:line="1" w:lineRule="exact"/>
        <w:rPr>
          <w:sz w:val="20"/>
          <w:szCs w:val="20"/>
          <w:color w:val="auto"/>
        </w:rPr>
      </w:pPr>
    </w:p>
    <w:p>
      <w:pPr>
        <w:ind w:left="120" w:right="120" w:hanging="4"/>
        <w:spacing w:after="0" w:line="260" w:lineRule="auto"/>
        <w:tabs>
          <w:tab w:leader="none" w:pos="42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special leave of absence from our board of directors, is absent from three consecutive meetings of the board and the board resolves that his office be vacated; or (v) is removed from office pursuant to any other provisions of our Memorandum and Articles.</w:t>
      </w:r>
    </w:p>
    <w:p>
      <w:pPr>
        <w:spacing w:after="0" w:line="17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 combination statute applicable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7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 dissolve,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Memorandum and Articles, our company may be wound up, liquidated and dissolved by a special resolution of our shareholders.</w:t>
      </w:r>
    </w:p>
    <w:p>
      <w:pPr>
        <w:spacing w:after="0" w:line="17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 rights of a class of shares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a majority of the outstanding shares of such class, unless the certificate of incorporation provides otherwise. Under Cayman Islands law and our Memorandum and Articles, if our share capital is divided into more than one class of shares, we may vary the rights attached to any class with the written consent of the holders of three-fourths of the issued shares of that class or with the sanction of a special resolution passed at a general meeting of the holders of the shares of that class.</w:t>
      </w:r>
    </w:p>
    <w:p>
      <w:pPr>
        <w:spacing w:after="0" w:line="183"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 governing documents may be amended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approval of a majority of the outstanding shares entitled to vote, unless the certificate of incorporation provides otherwise. Under the Companies Act and our Memorandum and Articles, our Memorandum and Articles may only be amended by a special resolution of our shareholders.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 of Non-resident or Foreign Shareholders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There are no limitations imposed by our Memorandum and Articles on the rights of non-resident or foreign shareholders to hold or exercise voting rights on our shares. In addition, there are no provisions in our Memorandum and Articles governing the ownership threshold above which shareholder ownership must be disclosed.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History of Securities Issuances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summary of the events that have changed the number of our share capital since January 1, 2021:</w:t>
      </w:r>
    </w:p>
    <w:p>
      <w:pPr>
        <w:spacing w:after="0" w:line="131" w:lineRule="exact"/>
        <w:rPr>
          <w:sz w:val="20"/>
          <w:szCs w:val="20"/>
          <w:color w:val="auto"/>
        </w:rPr>
      </w:pPr>
    </w:p>
    <w:p>
      <w:pPr>
        <w:ind w:left="1080" w:right="12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1, 2021 to December 31, 2023, we issued options to purchase an aggregate of 3,215,000 ordinary shares to employees with an exercise price of $19.16 and restricted stock units representing 7,815,584 ordinary shares.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21, 2021, we issued 20,809,850 ordinary shares for aggregate gross proceeds of $300.0 million and a warrant exercisable for up to an aggregate of 10,000,000 ordinary shares to an institutional investor, or the 2021 Subscription Agreement.</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24, 2023, we issued 7,656,968 ordinary shares for aggregate gross proceeds of $200.0 million pursuant to a subscription agreement with an institutional investor, or the Initial 2023 Subscription Agreement.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 2023, we issued 484,992 ordinary shares for aggregate gross proceeds of $12.6 million pursuant to a subscription agreement with an institutional investor, or the Subsequent 2023 Subscription Agreement.</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10, 2023, we issued 5,468,750 ordinary shares for aggregate gross proceeds of $350.0 million in a registered direct offering to an institutional investor.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2023, we issued 10,000,000 ordinary shares upon exercise of a warrant for an aggregate exercise price of $200 million.</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19, 2023, we issued 692,782 ordinary shares for aggregate gross proceeds of $22.1 million of the Company pursuant to a subscription agreement with an institutional investor, or the May 2023 Subscription Agreement and together with the 2021 Subscription Agreement, the Initial 2023 Subscription Agreement and the Subsequent 2023 Subscription Agreement, the Subscription Agreements.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there were options to purchase 6,366,358 ordinary shares outstanding with a weighted average exercise price of $9.33 per ordinary share. The options generally lapse after 10 years from date of grant.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2023, there were restricted stock units outstanding representing 4,948,956 ordinary shares upon vesting.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ADSs are listed on The Nasdaq Global Select Market under the trading symbol “LEGN.”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American Depositary Receipts</w:t>
      </w:r>
    </w:p>
    <w:p>
      <w:pPr>
        <w:spacing w:after="0" w:line="121" w:lineRule="exact"/>
        <w:rPr>
          <w:sz w:val="20"/>
          <w:szCs w:val="20"/>
          <w:color w:val="auto"/>
        </w:rPr>
      </w:pPr>
    </w:p>
    <w:p>
      <w:pPr>
        <w:jc w:val="both"/>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JPMorgan Chase Bank, N.A., or JPMorgan, as depositary, will issue the ADSs. Each ADS will represent an ownership interest in a designated number of shares which we will deposit with the custodian, as agent of the depositary, under the deposit agreement among ourselves, the depositary, yourself as an ADR holder and all other ADR holders, and all beneficial owners of an interest in the ADSs evidenced by ADRs from time to time.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depositary’s office is located at 383 Madison Avenue, Floor 11, New York, NY 10179.</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ADS to share ratio is subject to amendment as provided in the form of ADR (which may give rise to fees contemplated by the form of ADR). In the future, each ADS will also represent any securities, cash or other property deposited with the depositary but which they have not distributed directly to you.</w:t>
      </w:r>
    </w:p>
    <w:p>
      <w:pPr>
        <w:spacing w:after="0" w:line="176"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A beneficial owner is any person or entity having a beneficial ownership interest ADSs. A beneficial owner need not be the holder of the ADR evidencing such ADS. If a beneficial owner of ADSs is not an ADR holder, it must rely on the holder of the ADR(s) evidencing such ADSs in order to assert any rights or receive any benefits under the deposit agreement. A beneficial owner shall only be able to exercise any right or receive any benefit under the deposit agreement solely through the holder of the ADR(s) evidencing the ADSs owned by such beneficial owner. The arrangements between a beneficial owner of ADSs and the holder of the corresponding ADRs may affect the beneficial owner’s ability to exercise any rights it may have.</w:t>
      </w:r>
    </w:p>
    <w:p>
      <w:pPr>
        <w:spacing w:after="0" w:line="168"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An ADR holder shall be deemed to have all requisite authority to act on behalf of any and all beneficial owners of the ADSs evidenced by the ADRs registered in such ADR holder’s name for all purposes under the deposit agreement and ADRs. The depositary’s only notification obligations under the deposit agreement and the ADRs is to registered ADR holders. Notice to an ADR holder shall be deemed, for all purposes of the deposit agreement and the ADRs, to constitute notice to any and all beneficial owners of the ADSs evidenced by such ADR holder’s ADRs.</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Unless certificated ADRs are specifically requested,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80"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As an ADR holder or beneficial owner, we will not treat you as a shareholder of ours and you will not have any shareholder rights. Cayman Islands law governs shareholder rights. Because the depositary or its nominee will be the shareholder of record for the shares represented by all outstanding ADSs, shareholder rights rest with such record holder. Your rights are those of an ADR holder or of a beneficial owner. Such rights derive from the terms of the deposit agreement to be entered into among us, the depositary and all holders and beneficial owners from time to time of ADRs issued under the deposit agreement and, in the case of a beneficial owner, from the arrangements between the beneficial owner and the holder of the corresponding ADRs. The obligations of the depositary and its agents are also set out in the deposit agreement. Because the depositary or its nominee will actually be the registered owner of the shares, you must rely on it to exercise the rights of a shareholder on your behalf.</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455" w:right="5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of which this prospectus forms a part. You may also obtain a copy of the deposit agreement at the SEC’s Public Reference Room which is located at 100 F Street, NE, Washington, DC 20549. You may obtain information on the operation of the Public Reference Room by calling the SEC at 1-800-732-0330. You may also find the registration statement and the attached deposit agreement on the SEC’s website at http://www.sec.gov.</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Dividends and Other Distributions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will I receive dividends and other distributions on the shares underlying my ADSs?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may make various types of distributions with respect to our securities. The depositary has agreed that, to the extent practicable, it will pay to you the cash dividends or other distributions it or the custodian receives on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stated below, the depositary will deliver such distributions to ADR holders in proportion to their interests in the following manner:</w:t>
      </w:r>
    </w:p>
    <w:p>
      <w:pPr>
        <w:spacing w:after="0" w:line="129" w:lineRule="exact"/>
        <w:rPr>
          <w:sz w:val="20"/>
          <w:szCs w:val="20"/>
          <w:color w:val="auto"/>
        </w:rPr>
      </w:pPr>
    </w:p>
    <w:p>
      <w:pPr>
        <w:ind w:left="1080" w:right="60" w:hanging="424"/>
        <w:spacing w:after="0" w:line="26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The depositary will distribute any U.S. dollars available to it resulting from a cash dividend or other cash distribution or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of sales of any other distribution or portion thereof (to the extent applicable), on an averaged or other practicable basis, subject to</w:t>
      </w:r>
    </w:p>
    <w:p>
      <w:pPr>
        <w:ind w:left="1080"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w:t>
      </w:r>
      <w:r>
        <w:rPr>
          <w:rFonts w:ascii="Times New Roman" w:cs="Times New Roman" w:eastAsia="Times New Roman" w:hAnsi="Times New Roman"/>
          <w:sz w:val="18"/>
          <w:szCs w:val="18"/>
          <w:i w:val="1"/>
          <w:iCs w:val="1"/>
          <w:color w:val="auto"/>
        </w:rPr>
        <w:t>If exchange rates fluctuate during a time when the depositary cannot convert a foreign currency, you may lose some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all of the value of the distribution.</w:t>
      </w:r>
    </w:p>
    <w:p>
      <w:pPr>
        <w:spacing w:after="0" w:line="97" w:lineRule="exact"/>
        <w:rPr>
          <w:rFonts w:ascii="Times New Roman" w:cs="Times New Roman" w:eastAsia="Times New Roman" w:hAnsi="Times New Roman"/>
          <w:sz w:val="18"/>
          <w:szCs w:val="18"/>
          <w:color w:val="auto"/>
        </w:rPr>
      </w:pPr>
    </w:p>
    <w:p>
      <w:pPr>
        <w:ind w:left="1080" w:right="40" w:hanging="424"/>
        <w:spacing w:after="0" w:line="267"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Shares. </w:t>
      </w:r>
      <w:r>
        <w:rPr>
          <w:rFonts w:ascii="Times New Roman" w:cs="Times New Roman" w:eastAsia="Times New Roman" w:hAnsi="Times New Roman"/>
          <w:sz w:val="18"/>
          <w:szCs w:val="18"/>
          <w:color w:val="auto"/>
        </w:rPr>
        <w:t>In the case of a distribution in shares, the depositary will issue additional ADRs to evidence the number of ADSs representing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Only whole ADSs will be issued. Any shares which would result in fractional ADSs will be sold and the net proceeds will be distributed in the same manner as cash to the ADR holders entitled thereto.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55"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080" w:right="40" w:hanging="424"/>
        <w:spacing w:after="0" w:line="261"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Rights to receive additional shares. </w:t>
      </w:r>
      <w:r>
        <w:rPr>
          <w:rFonts w:ascii="Times New Roman" w:cs="Times New Roman" w:eastAsia="Times New Roman" w:hAnsi="Times New Roman"/>
          <w:sz w:val="18"/>
          <w:szCs w:val="18"/>
          <w:color w:val="auto"/>
        </w:rPr>
        <w:t>In the case of a distribution of rights to subscribe for additional shares or other rights, if we timely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73"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such rights if practicable and distribute the net proceeds in the same manner as cash to the ADR holders entitled thereto; or</w:t>
      </w:r>
    </w:p>
    <w:p>
      <w:pPr>
        <w:spacing w:after="0" w:line="117" w:lineRule="exact"/>
        <w:rPr>
          <w:rFonts w:ascii="Times New Roman" w:cs="Times New Roman" w:eastAsia="Times New Roman" w:hAnsi="Times New Roman"/>
          <w:sz w:val="18"/>
          <w:szCs w:val="18"/>
          <w:color w:val="auto"/>
        </w:rPr>
      </w:pPr>
    </w:p>
    <w:p>
      <w:pPr>
        <w:ind w:left="1100" w:right="100" w:firstLine="7"/>
        <w:spacing w:after="0" w:line="312" w:lineRule="auto"/>
        <w:tabs>
          <w:tab w:leader="none" w:pos="1365" w:val="left"/>
        </w:tabs>
        <w:numPr>
          <w:ilvl w:val="2"/>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4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Distributions. </w:t>
      </w:r>
      <w:r>
        <w:rPr>
          <w:rFonts w:ascii="Times New Roman" w:cs="Times New Roman" w:eastAsia="Times New Roman" w:hAnsi="Times New Roman"/>
          <w:sz w:val="18"/>
          <w:szCs w:val="18"/>
          <w:color w:val="auto"/>
        </w:rPr>
        <w:t>In the case of a distribution of securities or property other than those described above, the depositary may either</w:t>
      </w:r>
    </w:p>
    <w:p>
      <w:pPr>
        <w:spacing w:after="0" w:line="29" w:lineRule="exact"/>
        <w:rPr>
          <w:rFonts w:ascii="Times New Roman" w:cs="Times New Roman" w:eastAsia="Times New Roman" w:hAnsi="Times New Roman"/>
          <w:sz w:val="18"/>
          <w:szCs w:val="18"/>
          <w:color w:val="auto"/>
        </w:rPr>
      </w:pPr>
    </w:p>
    <w:p>
      <w:pPr>
        <w:jc w:val="both"/>
        <w:ind w:left="1080" w:right="640" w:firstLine="8"/>
        <w:spacing w:after="0" w:line="255" w:lineRule="auto"/>
        <w:tabs>
          <w:tab w:leader="none" w:pos="129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8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depositary is not responsible if it fails to determine that any distribution or action is lawful or reasonably practicable.</w:t>
      </w:r>
    </w:p>
    <w:p>
      <w:pPr>
        <w:spacing w:after="0" w:line="33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does the depositary issue ADSs?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custodian will hold all deposited shares (including those being deposited by or on our behalf in connection with the offering to which this prospectus relates) for the account and to the order of the depositary,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in each case for the benefit of ADR holders. ADR holders and beneficial owners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Deposited securities are not intended to, and shall not, constitute proprietary assets of the depositary, the custodian or their nominees. Beneficial ownership in deposited securities is intended to be, and shall at all times during the term of the deposit agreement continue to be, vested in the beneficial owners of the ADSs representing such deposited securities. Notwithstanding anything else contained herein, in the deposit agreement, in the form of ADR and/or in any outstanding ADSs, the depositary, the custodian and their respective nominees are intended to be, and shall at all times during the term of the deposit agreement be, the record holder(s) only of the deposited securities represented by the ADSs for the benefit of the ADR holders. The depositary, on its own behalf and on behalf of the custodian and their respective nominees, disclaims any beneficial ownership interest in the deposited securities held on behalf of the ADR holders.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do ADR holders cancel an ADS and obtain deposited securities?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depositary may only restrict the withdrawal of deposited securities in connection with:</w:t>
      </w:r>
    </w:p>
    <w:p>
      <w:pPr>
        <w:spacing w:after="0" w:line="131" w:lineRule="exact"/>
        <w:rPr>
          <w:sz w:val="20"/>
          <w:szCs w:val="20"/>
          <w:color w:val="auto"/>
        </w:rPr>
      </w:pPr>
    </w:p>
    <w:p>
      <w:pPr>
        <w:ind w:left="1080" w:right="34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caused by closing our transfer books or those of the depositary or the deposit of shares in connection with voting at a shareholders’ meeting, or the payment of dividends;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taxes and similar charges;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U.S. or foreign laws or governmental regulations relating to the ADRs or to the withdrawal of deposited securities.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67" w:lineRule="exact"/>
        <w:rPr>
          <w:sz w:val="20"/>
          <w:szCs w:val="20"/>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distribution on or in respect of deposited securities,</w:t>
      </w:r>
    </w:p>
    <w:p>
      <w:pPr>
        <w:spacing w:after="0" w:line="130" w:lineRule="exact"/>
        <w:rPr>
          <w:rFonts w:ascii="Times New Roman" w:cs="Times New Roman" w:eastAsia="Times New Roman" w:hAnsi="Times New Roman"/>
          <w:sz w:val="18"/>
          <w:szCs w:val="18"/>
          <w:color w:val="auto"/>
        </w:rPr>
      </w:pPr>
    </w:p>
    <w:p>
      <w:pPr>
        <w:ind w:left="5540" w:right="3720" w:hanging="4884"/>
        <w:spacing w:after="0" w:line="454" w:lineRule="auto"/>
        <w:tabs>
          <w:tab w:leader="none" w:pos="109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instructions for the exercise of voting rights at a meeting of holders of shares, or 26</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fee assessed by the depositary for administration of the ADR program and for any expenses as provided for in the ADR,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notice or to act in respect of other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subject to the provisions of the deposit agreement.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you are an ADR holder and the depositary asks you to provide it with voting instructions, you may instruct the depositary how to exercise the voting rights for the shares which underlie your ADSs.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provided that if the depositary receives a written request from us in a timely manner and at least 30 days prior to the date of such vote or meeting, the depositary shall, at our expense, distribute to the registered ADR holders a “voting notice” stating (i) final information particular to such vote and meeting and any solicitation materials, (ii) that each ADR holder on the record date set by the depositary will, subject to any applicable provisions of Cayman Islands law, be entitled to instruct the depositary as to the exercise of the voting rights, if any, pertaining to the deposited securities represented by the ADSs evidenced by such ADR holder’s ADRs and (iii) the manner in which such instructions may be given, or deemed to be given pursuant to the terms of the deposit agreement, including instructions for giving a discretionary proxy to a person designated by us. Each ADR holder shall be solely responsible for the forwarding of voting notices to the beneficial owners of ADSs registered in such ADR holder’s name. There is no guarantee that ADR holders and beneficial owners generally or any holder or beneficial owner in particular will receive the notice described above with sufficient time to enable such ADR holder or beneficial owner to return any voting instructions to the depositary in a timely manner.</w:t>
      </w:r>
    </w:p>
    <w:p>
      <w:pPr>
        <w:spacing w:after="0" w:line="187"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Following actual receipt by the ADR department responsible for proxies and voting of ADR holders’ instructions (including, without limitation, instructions of any entity or entities acting on behalf of the nominee for DTC), the depositary shall, in the manner and on or before the time established by the depositary for such purpose, endeavor to vote or cause to be voted the deposited securities represented by the ADSs evidenced by such ADR holders’ ADRs in accordance with such instructions insofar as practicable and permitted under the provisions of or governing deposited securities.</w:t>
      </w:r>
    </w:p>
    <w:p>
      <w:pPr>
        <w:spacing w:after="0" w:line="164"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To the extent that (A) we have provided the depositary with at least 35 days’ notice of the proposed meeting, (B) the voting notice will be received by all ADR holders and beneficial owners no less than 10 days prior to the date of the meeting and/or the cut-off date for the solicitation of consents, and</w:t>
      </w:r>
    </w:p>
    <w:p>
      <w:pPr>
        <w:spacing w:after="0" w:line="1" w:lineRule="exact"/>
        <w:rPr>
          <w:sz w:val="20"/>
          <w:szCs w:val="20"/>
          <w:color w:val="auto"/>
        </w:rPr>
      </w:pPr>
    </w:p>
    <w:p>
      <w:pPr>
        <w:ind w:left="120" w:right="40" w:hanging="4"/>
        <w:spacing w:after="0" w:line="251" w:lineRule="auto"/>
        <w:tabs>
          <w:tab w:leader="none" w:pos="40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does not receive instructions on a particular agenda item from an ADR holder (including, without limitation, any entity or entities acting on behalf of the nominee for DTC) in a timely manner, such ADR holder shall be deemed, and in the deposit agreement the depositary is instructed to deem such ADR holder, to have instructed the depositary to give a discretionary proxy for such agenda item(s) to a person designated by us to vote the deposited securities represented by the ADSs for which actual instructions were not so given by all such ADR holders on such agenda item(s), provided that no such instruction shall be deemed given and no discretionary proxy shall be given unless (1) we inform the depositary in writing (and we agree to provide the depositary with such instruction promptly in writing) that (a) we wish such proxy to be given with respect to such agenda item(s), (b) there is no substantial opposition existing with respect to such agenda item(s) and (c) such agenda item(s), if approved, would not materially or adversely affect the rights of holders of shares, and (2) the depositary has obtained an opinion of counsel, in form and substance satisfactory to the depositary, confirming that (i) the granting of such discretionary proxy does not subject the depositary to any reporting obligations in the Cayman Islands, (ii) the granting of such proxy will not result in a violation of the laws, rules, regulations or permits of the Cayman Islands, (iii) the voting arrangement and deemed instruction as contemplated herein will be given</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55"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312" w:lineRule="auto"/>
        <w:rPr>
          <w:sz w:val="20"/>
          <w:szCs w:val="20"/>
          <w:color w:val="auto"/>
        </w:rPr>
      </w:pPr>
      <w:r>
        <w:rPr>
          <w:rFonts w:ascii="Times New Roman" w:cs="Times New Roman" w:eastAsia="Times New Roman" w:hAnsi="Times New Roman"/>
          <w:sz w:val="17"/>
          <w:szCs w:val="17"/>
          <w:color w:val="auto"/>
        </w:rPr>
        <w:t>effect under the laws, rules and regulations of the Cayman Islands, and (iv) the granting of such discretionary proxy will not under any circumstances result in the shares represented by the ADSs being treated as assets of the depositary under the laws, rules or regulations of the Cayman Islands.</w:t>
      </w:r>
    </w:p>
    <w:p>
      <w:pPr>
        <w:spacing w:after="0" w:line="140"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depositary may from time to time access information available to it to consider whether any of the circumstances described above exist, or request additional information from us in respect thereto. By taking any such action, the depositary shall not in any way be deemed or inferred to have been required, or have had any duty or responsibility (contractual or otherwise), to monitor or inquire whether any of the circumstances described above existed. In addition to the limitations provided for in the deposit agreement, ADR holders and beneficial owners are advised and agree that (a) the depositary will rely fully and exclusively on us to inform it of any of the circumstances set forth above, and (b) neither the depositary, the custodian nor any of their respective agents shall be obliged to inquire or investigate whether any of the circumstances described above exist and/or whether we complied with our obligation to timely inform the depositary of such circumstances. Neither the depositary, the custodian nor any of their respective agents shall incur any liability to ADR holders or beneficial owners (i) as a result of our failure to determine that any of the circumstances described above exist or our failure to timely notify the depositary of any such circumstances or (ii) if any agenda item which is approved at a meeting has, or is claimed to have, a material or adverse effect on the rights of holders of shares. Because there is no guarantee that ADR holders and beneficial owners will receive the notices described above with sufficient time to enable such ADR holders or beneficial owners to return any voting instructions to the depositary in a timely manner, ADR holders and beneficial owners may be deemed to have instructed the depositary to give a discretionary proxy to a person designated by us in such circumstances, and neither the depositary, the custodian nor any of their respective agents shall incur any liability to ADR holders or beneficial owners in such circumstances.</w:t>
      </w:r>
    </w:p>
    <w:p>
      <w:pPr>
        <w:spacing w:after="0" w:line="19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ADR 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in respect of deposited securities. The depositary and its agents will not be responsible for any failure to carry out any instructions to vote any of the deposited securities, for the manner in which any voting instructions are given, or deemed to be given pursuant to the terms of the deposit agreement, including instructions to give a discretionary proxy to a person designated by us, for the manner in which any vote is cast, including, without limitation, any vote cast by a person to whom the depositary is instructed to grant a discretionary proxy (or deemed to have been instructed pursuant to the terms of the deposit agreement), or for the effect of any such vote. Notwithstanding anything contained in the deposit agreement or any ADR, the depositary may, to the extent not prohibited by any law, regulation, or requirement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ADR holders with or otherwise publicizes to such ADR holders instructions on how to retrieve such materials or receive such materials upon request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have advised the depositary that under Cayman Islands law and our constituent documents, each as in effect as of the date of the deposit agreement, voting at any meeting of shareholders is by show of hands unless a poll is (before or on the declaration of the results of the show of hands) demanded. In the event that voting on any resolution or matter is conducted on a show of hands basis in accordance with our constituent documents, the depositary will refrain from voting and the voting instructions received by the depositary from ADR holders shall lapse. The depositary will not demand a poll or join in demanding a poll, whether or not requested to do so by ADR holders or beneficial owners.</w:t>
      </w:r>
    </w:p>
    <w:p>
      <w:pPr>
        <w:spacing w:after="0" w:line="18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Reports and Other Communications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Will ADR holders be able to view our reports?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fees and expenses will I be responsible for paying?</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canceled or surrendered, or upon which a share distribution or elective distribution is made or offered, as the case may be. The depositary may sell (by public or private sale) sufficient securities and property received in respect of a share distribution, rights and/or other distribution prior to such deposit to pay such charge.</w:t>
      </w:r>
    </w:p>
    <w:p>
      <w:pPr>
        <w:spacing w:after="0" w:line="18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additional charges shall also be incurred by the ADR holders, the beneficial owners,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81" w:lineRule="exact"/>
        <w:rPr>
          <w:sz w:val="20"/>
          <w:szCs w:val="20"/>
          <w:color w:val="auto"/>
        </w:rPr>
      </w:pPr>
    </w:p>
    <w:p>
      <w:pPr>
        <w:ind w:left="1080" w:right="34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U.S.$0.05 or less per ADS held for any cash distribution made, or for any elective cash/stock dividend offered, pursuant to the deposit agreement;</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fee of U.S.$0.05 or less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85"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reimbursement of such fees, charges and expenses as are incurred by the depositary and/or any of its agents (including, without limitation, the custodian and expenses incurred on behalf of ADR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ADR holders as of the record date or dates set by the depositary and shall be payable at the sole discretion of the depositary by billing such ADR holders or by deducting such charge from one or more cash dividends or other cash distributions);</w:t>
      </w:r>
    </w:p>
    <w:p>
      <w:pPr>
        <w:spacing w:after="0" w:line="97"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ADR holders entitled thereto;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transfer or other taxes and other governmental charges;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SWIFT, cable, telex and facsimile transmission and delivery charges incurred at your request in connection with the deposit or delivery of shares, ADRs or deposited securities;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registration fees for the registration of transfer of deposited securities on any applicable register in connection with the deposit or withdrawal of deposited securities; and</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of any division, branch or affiliate of the depositary utilized by the depositary to direct, manage and/or execute any public and/or private sale of securities under the deposit agreement.</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To facilitate the administration of various depositary receipt transactions, including disbursement of dividends or other cash distributions and other corporate actions, the depositary may engage the foreign exchange desk within JPMorgan Chase Bank, N.A., or the Bank, and/or its affiliates in order to enter into spot foreign exchange transactions to convert foreign currency into U.S. dollars. For certain currencies, foreign exchange transactions are entered into with the Bank or an affiliate, as the case may be, acting in a principal capacity. For other currencies, foreign exchange transactions are routed directly to and managed by an unaffiliated local custodian (or other third party local liquidity provider), and neither the Bank nor any of its affiliates is a party to such foreign exchange transactions.</w:t>
      </w:r>
    </w:p>
    <w:p>
      <w:pPr>
        <w:spacing w:after="0" w:line="18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foreign exchange rate applied to an foreign exchange transaction will be either (a) a published benchmark rate, or (b) a rate determined by a third party local liquidity provider, in each case plus or minus a spread, as applicable. The depositary will disclose which foreign exchange rate and spread, if any, apply to such currency on the “Disclosure” page (or successor page) of www.adr.com.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foreign exchange transaction. Additionally, the timing of execution of an foreign exchange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depositary, us, holders or beneficial owners. </w:t>
      </w:r>
      <w:r>
        <w:rPr>
          <w:rFonts w:ascii="Times New Roman" w:cs="Times New Roman" w:eastAsia="Times New Roman" w:hAnsi="Times New Roman"/>
          <w:sz w:val="18"/>
          <w:szCs w:val="18"/>
          <w:i w:val="1"/>
          <w:iCs w:val="1"/>
          <w:color w:val="auto"/>
        </w:rPr>
        <w:t>The spread applied does not reflect any gains or losses that may be earned or incurred by the Bank and its affiliates as a result of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or other hedging related activity.</w:t>
      </w:r>
    </w:p>
    <w:p>
      <w:pPr>
        <w:spacing w:after="0" w:line="19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to the extent we provide U.S. dollars to the depositary, neither the Bank nor any of its affiliates will execute a foreign exchange transaction as set forth herein. In such case, the depositary will distribute the U.S. dollars received from us.</w:t>
      </w:r>
    </w:p>
    <w:p>
      <w:pPr>
        <w:spacing w:after="0" w:line="268"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Further details relating to the applicable foreign exchange rate, the applicable spread and the execution of foreign exchange transactions will be provided by the depositary on ADR.com. Each holder and beneficial owner by holding or owning an ADR or ADS or an interest therein, and we, each acknowledge and agree that the terms applicable to foreign exchange transactions disclosed from time to time on ADR.com will apply to any foreign exchange transaction executed pursuant to the deposit agreement.</w:t>
      </w:r>
    </w:p>
    <w:p>
      <w:pPr>
        <w:spacing w:after="0" w:line="18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will pay all other charges and expenses of the depositary and any agent of the depositary (except the custodian) pursuant to agreements from time to time between us and the depositary.</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right of the depositary to receive payment of fees, charges and expenses survives the termination of the deposit agreement, and shall extend for those fees, charges and expenses incurred prior to the effectiveness of any resignation or removal of the depositary.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fees and charges described above may be amended from time to time by agreement between us and the depositary.</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ADR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21"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ADR holders or beneficial owners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SAT Circular 82 issued by the SAT or any other circular, edict, order or ruling, as issued and as from time to time amended, is applied or otherwise, such tax or other governmental charge shall be paid by the ADR holder thereof to the depositary and by holding or owning, or having held or owned, an ADR or any ADSs evidenced thereby, the ADR holder and all beneficial owners thereof, and all prior ADR holders and beneficial owners thereof, jointly and severally, agree to indemnify, defend and save harmless each of the depositary and its agents in respect of such tax or other governmental charge. Notwithstanding the depositary’s right to seek payment from current and former beneficial owners, by holding or owning, or having held or owned, an ADR, the ADR holder thereof (and prior ADR holder thereof) acknowledges and agrees that the depositary has no obligation to seek payment of amounts owing from any current or former beneficial owner. If an ADR holder owes any tax or other governmental charge, the depositary may (i) deduct the amount thereof from any cash distributions, or</w:t>
      </w:r>
    </w:p>
    <w:p>
      <w:pPr>
        <w:spacing w:after="0" w:line="4" w:lineRule="exact"/>
        <w:rPr>
          <w:sz w:val="20"/>
          <w:szCs w:val="20"/>
          <w:color w:val="auto"/>
        </w:rPr>
      </w:pPr>
    </w:p>
    <w:p>
      <w:pPr>
        <w:ind w:left="120" w:right="180" w:hanging="4"/>
        <w:spacing w:after="0" w:line="252" w:lineRule="auto"/>
        <w:tabs>
          <w:tab w:leader="none" w:pos="38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88"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As an ADR holder or beneficial owner,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Reclassifications, Recapitalizations and Mergers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liquidation, receivership, bankruptcy or sale of all or substantially all of our assets, then the depositary may choose to, and shall if reasonably requested by us:</w:t>
      </w:r>
    </w:p>
    <w:p>
      <w:pPr>
        <w:spacing w:after="0" w:line="67"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form of ADR;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additional or amended ADRs;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cash, securities or other property it has received in connection with such 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securities or property received and distribute the proceeds as cash;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above.</w:t>
      </w:r>
    </w:p>
    <w:p>
      <w:pPr>
        <w:spacing w:after="0" w:line="225"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or beneficial owners. Such notice need not describe in detail the specific amendments effectuated thereby, but must identify to ADR holders and beneficial owners a means to access the text of such amendment. If an ADR holder continues to hold an ADR or ADRs after being so notified, such ADR holder and any beneficial owner are deemed to agree to such amendment and to be bound by the deposit agreement as so amended. No amendment, however, will impair your right to surrender your ADSs and receive the underlying securities, except in order to comply with mandatory provisions of applicable law.</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amendments or supplements which (i) are reasonably necessary (as agreed by us and the depositary) in order for (a) the ADSs to be registered on Form F-6 under the Securities Act or (b) the ADSs or shares to be traded solely in electronic book-entry form and (ii) do not in either such case impose or increase any fees or charges to be borne by ADR holders, shall be deemed not to prejudice any substantial rights of ADR holders or beneficial owners.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ADR holders or within any other period of time as required for compliance.</w:t>
      </w:r>
    </w:p>
    <w:p>
      <w:pPr>
        <w:spacing w:after="0" w:line="19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ADR holders identifies a means for ADR holders and beneficial owners to retrieve or receive the text of such amendment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upon retrieval from the SEC’s, the depositary’s or our website or upon request from the depositary).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depositary may, and shall at our written direction, terminate the deposit agreement and the ADRs by mailing notice of such termination to the registered holders of ADRs at least 30 days prior to the date fixed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5" w:lineRule="auto"/>
        <w:rPr>
          <w:sz w:val="20"/>
          <w:szCs w:val="20"/>
          <w:color w:val="auto"/>
        </w:rPr>
      </w:pPr>
      <w:r>
        <w:rPr>
          <w:rFonts w:ascii="Times New Roman" w:cs="Times New Roman" w:eastAsia="Times New Roman" w:hAnsi="Times New Roman"/>
          <w:sz w:val="18"/>
          <w:szCs w:val="18"/>
          <w:color w:val="auto"/>
        </w:rPr>
        <w:t>such notice for such termination; provided, however, if the depositary shall have (i) resigned as depositary under the deposit agreement, notice of such termination by the depositary shall not be provided to registered ADR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our notice of removal was first provided to the depositary.</w:t>
      </w:r>
    </w:p>
    <w:p>
      <w:pPr>
        <w:spacing w:after="0" w:line="5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After the date so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registered holder of ADRs. At such time as the ADSs cease to be DTC eligible and/or neither DTC nor any of its nominees is a registered holder of ADRs, the depositary shall (a) instruct its custodian to deliver all shares to us along with a general stock power that refers to the names set forth on the ADR register maintained by the depositary and (b) provide us with a copy of the ADR register maintained by the depositary. Upon receipt of such shares and the ADR register maintained by the depositary, we have agreed to use our best efforts to issue to each registered ADR holder a Share certificate representing the Shares represented by the ADSs reflected on the ADR register maintained by the depositary in such registered ADR holder’s name and to deliver such Share certificate to the registered ADR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w:t>
      </w:r>
    </w:p>
    <w:p>
      <w:pPr>
        <w:spacing w:after="0" w:line="19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in connection with any such termination, the depositary may, in its sole discretion and without notice to us, establish an unsponsored American depositary share program (on such terms as the depositary may determine) for our shares and make available to ADR holders a means to withdraw the shares represented by the ADSs issued under the deposit agreement and to direct the deposit of such shares into such unsponsored American depositary share program, subject, in each case, to receipt by the depositary, at its discretion, of the fees, charges and expenses provided for under the deposit agreement and the fees, charges and expenses applicable to the unsponsored American depositary share program.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 to ADR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ADR holders and holders of ADSs</w:t>
      </w:r>
    </w:p>
    <w:p>
      <w:pPr>
        <w:spacing w:after="0" w:line="121" w:lineRule="exact"/>
        <w:rPr>
          <w:sz w:val="20"/>
          <w:szCs w:val="20"/>
          <w:color w:val="auto"/>
        </w:rPr>
      </w:pPr>
    </w:p>
    <w:p>
      <w:pPr>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45" w:lineRule="exact"/>
        <w:rPr>
          <w:sz w:val="20"/>
          <w:szCs w:val="20"/>
          <w:color w:val="auto"/>
        </w:rPr>
      </w:pPr>
    </w:p>
    <w:p>
      <w:pPr>
        <w:ind w:left="1080" w:right="20" w:hanging="424"/>
        <w:spacing w:after="0" w:line="266"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the ADRs, as it may deem necessary or proper;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such regulations as the depositary may establish consistent with the deposit agreement.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deposit agreement expressly limits the obligations and liability of the depositary, ourselves and our respective agents, provided, however, that no disclaimer of liability under the Securities Act is intended by any of the limitations of liabilities provisions of the deposit agreement. The deposit agreement provides that each of us, the depositary and our respective agents will:</w:t>
      </w:r>
    </w:p>
    <w:p>
      <w:pPr>
        <w:spacing w:after="0" w:line="81" w:lineRule="exact"/>
        <w:rPr>
          <w:sz w:val="20"/>
          <w:szCs w:val="20"/>
          <w:color w:val="auto"/>
        </w:rPr>
      </w:pPr>
    </w:p>
    <w:p>
      <w:pPr>
        <w:ind w:left="1080" w:right="20" w:hanging="424"/>
        <w:spacing w:after="0" w:line="254"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no liability (including, without limitation, to holders or beneficial owners) if any present or future law, rule, regulation, fiat, order or decree of the Cayman Islands, Hong Kong, the People’s Republic of China, the United States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nationalization,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97"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no liability (including, without limitation, to holders or beneficial owners) by reason of any non-performance or delay, caused as aforesaid, in the performance of any act or things which by the terms of the deposit agreement it is provided shall or may be done or performed or any exercise or failure to exercise discretion under the deposit agreement or the ADRs including, without limitation, any failure to determine that any distribution or action may be lawful or reasonably practicable;</w:t>
      </w:r>
    </w:p>
    <w:p>
      <w:pPr>
        <w:spacing w:after="0" w:line="85"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no liability (including, without limitation, to holders or beneficial owners) if it performs its obligations under the deposit agreement and ADRs without gross negligence or willful misconduct;</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depositary and its agents, be under no obligation to appear in, prosecute or defend any action, suit or other proceeding in respect of any deposited securities the ADSs or the ADRs;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us and our agents, be under no obligation to appear in, prosecute or defend any action, suit or other proceeding in respect of any deposited securities the ADSs or the ADRs, which in our or our agents’ opinion, as the case may be, may involve it in expense or liability, unless indemnity satisfactory to us or our agent, as the case may be against all expense (including fees and disbursements of counsel) and liability be furnished as often as may be requested;</w:t>
      </w:r>
    </w:p>
    <w:p>
      <w:pPr>
        <w:spacing w:after="0" w:line="85"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liable (including, without limitation, to holders or beneficial owners) for any action or inaction by it in reliance upon the advice of or information from any legal counsel, any accountant, any person presenting shares for deposit, any registered holder of ADRs, or any other person believed by it to be competent to give such advice or information and/or, in the case of the depositary, us; or</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and shall be protected in acting upon any written notice, request, direction, instruction or document believed by it to be genuine and to have been signed, presented or given by the proper party or parties.</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Neither the depositary nor its agents have any obligation to appear in, prosecute or defend any action, suit or other proceeding in respect of any deposited securities, the ADSs or the ADRs. We and our agents shall only be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obligated to appear in, prosecute or defend any action, suit or other proceeding in respect of any deposited securities, the ADSs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 affiliate of JPMorgan. Notwithstanding anything to the contrary contained in the deposit agreement or any ADRs, the depositary shall not be responsible for, and shall incur no liability in connection with or arising from, any act or omission to act on the part of the custodian except to the extent that any registered ADR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but not limited to, pricing, proxy voting, corporate actions, class action litigation and other services in connection with the ADRs and the deposit agreement, and use local agents to provide services such as, but not limited to, attendance at any meetings of shareholders of issuers.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depositary has no obligation to inform ADR holders or beneficial owners about the requirements of the laws, rules or regulations or any changes therein or thereto of the Cayman Islands, Hong Kong, the People’s Republic of China, the United States or any other country or jurisdiction or of any governmental or regulatory authority or any securities exchange or market or automated quotation system.</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Additionally, none of us, the depositary or the custodian shall be liable for the failure by any registered holder of ADRs or beneficial owner therein to obtain the benefits of credits or refunds of non-U.S. tax paid against such ADR holder’s or beneficial owner’s income tax liability. The depositary is under no obligation to provide the ADR holders and beneficial owners, or any of them, with any information about our tax status. Neither we nor the depositary shall incur any liability for any tax or tax consequences that may be incurred by registered ADR holders or beneficial owners on account of their ownership or disposition of ADRs or ADSs.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Neither the depositary nor its agents will be responsible for any failure to carry out any instructions to vote any of the deposited securities, for the manner in which any voting instructions are given, or deemed to be given pursuant to the terms of the deposit agreement, including instructions to give a discretionary proxy to a person designated by us, for the manner in which any vote is cast, including, without limitation, any vote cast by a person to whom the depositary is instructed to grant a discretionary proxy (or deemed to have been instructed pursuant to the terms of the deposit agreement),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for any indirect, special, punitive or consequential damages (including, without limitation, legal fees and expenses) or lost profits, in each case of any form incurred by any person or entity (including, without limitation holders or beneficial owners of ADRs and ADSs), whether or not foreseeable and regardless of the type of action in which such a claim may be brought.</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the deposit agreement each party thereto (including, for avoidance of doubt, each ADR holder and beneficial owner)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No provision of the deposit agreement or the ADRs is intended to constitute a waiver or limitation of any rights which an ADR holder or any beneficial owner may have under the Securities Act or the Securities Exchange Act of 1934, to the extent applicable.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depositary and its agents may own and deal in any class of securities of our company and our affiliates and in ADRs.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Disclosure of Interest in ADSs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the provisions of or governing any deposited securities may require disclosure of or impose limits on beneficial or other ownership of, or interest in, deposited securities, other shares and other securities and may provide for blocking transfer, voting or other rights to enforce such disclosure or limits, you as ADR holders or beneficial owners agree to comply with all such disclosure requirements and ownership limitations and to comply with any reasonable instructions we may provide in respect thereof.</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ADR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the Company solely in order to enable the Company to comply with applicable law.</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depositary will maintain facilities for the delivery and receipt of ADRs.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Appointment</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the deposit agreement, each registered holder of ADRs and each beneficial owner, upon acceptance of any ADSs or ADRs (or any interest in any of them) issued in accordance with the terms and conditions of the deposit agreement will be deemed for all purposes to:</w:t>
      </w:r>
    </w:p>
    <w:p>
      <w:pPr>
        <w:spacing w:after="0" w:line="67"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party to and bound by the terms of the deposit agreement and the applicable ADR or ADRs,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or ADRs, the taking of such actions to be the conclusive determinant of the necessity and appropriateness thereof; and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5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us, ADR holders, beneficial owners and/or their respective affiliates, (iii) the depositary and its divisions, branches and affiliates may at any time have multiple banking relationships with us, ADR holders, beneficial owners and/or the affiliates of any of them, (iv) the depositary and its divisions, branches and affiliates may, from time to time, be engaged in transactions in which parties adverse to us, ADR holders, beneficial owners and/or their respective affiliates may have interests, (v) nothing contained in the deposit agreement or any ADR(s) shall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(vi) the depositary shall not be deemed to have knowledge of any information held by any branch, division or affiliate of the depositary and (vii) notice to an ADR holder shall be deemed, for all purposes of the deposit agreement and the ADRs, to constitute notice to any and all beneficial owners of the ADSs evidenced by such ADR holder’s ADRs. For all purposes under the deposit agreement and the ADRs, the ADR holders thereof shall be deemed to have all requisite authority to act on behalf of any and all beneficial owners of the ADSs evidenced by such ADRs.</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deposit agreement, the ADSs and the ADRs are governed by and construed in accordance with the internal laws of the State of New York. In the deposit agreement, we have submitted to the non-exclusive jurisdiction of the courts of the State of New York and appointed an agent for service of process on our behalf. Any action based on the deposit agreement, the ADSs, the ADRs or the transactions contemplated therein or thereby may also be instituted by the depositary against us in any competent court in the Cayman Islands, Hong Kong, the People’s Republic of China, the United States and/or any other court of competent jurisdiction.</w:t>
      </w:r>
    </w:p>
    <w:p>
      <w:pPr>
        <w:spacing w:after="0" w:line="183"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Under the deposit agreement, by holding or owning an ADR or ADS or an interest therein, ADR holders and beneficial owners each irrevocably agree that any legal suit, action or proceeding against or involving ADR holders or beneficial owners brought by us or the depositary, arising out of or based upon the deposit agreement, the ADSs, the ADRs or the transactions contemplated thereby, may be instituted in a state or federal court in New York, New York, irrevocably waive any objection which you may have to the laying of venue of any such proceeding, and irrevocably submit to the non-exclusive jurisdiction of such courts in any such suit, action or proceeding. By holding or owning an ADR or ADS or an interest therein, ADR holders and beneficial owners each also irrevocably agree that any legal suit, action or proceeding against or involving the depositary brought by ADR holders or beneficial owners, arising out of or based upon the deposit agreement, the ADSs, the ADRs or the transactions contemplated thereby, may only be instituted in a state or federal court in New York, New York.</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foregoing, (i) the depositary may, in its sole discretion, elect to institute any dispute, suit, action, controversy, claim or proceeding directly or indirectly based on, arising out of or relating to the deposit agreement, the ADSs, the ADRs or the transactions contemplated therein or thereby, including without limitation any question regarding its or their existence, validity, interpretation, performance or termination, against any other party or parties to the deposit agreement (including, without limitation, against ADR holders and beneficial owners of interests in ADSs), by having the matter referred to and finally resolved by an arbitration conducted under the terms described below, and (ii) the depositary may in its sole discretion require, by written notice to the relevant party or parties, that any dispute, suit, action, controversy, claim or proceeding against the depositary by any party or parties to the deposit agreement (including, without limitation, by ADR holders and beneficial owners of interests in ADSs) shall be referred to and finally settled by an arbitration conducted under the terms described below. Any such arbitration shall be conducted in the English language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either in New York, New York in accordance with the Commercial Arbitration Rules of the American Arbitration Association or in Hong Kong following the arbitration rules of the United Nations Commission on International Trade Law (UNCITRAL).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Jury Trial Waiver</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the deposit agreement, each party thereto (including, for the avoidance of doubt, each holder and beneficial owner of, and/or holder of interests in, ADSs or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including any claim under the U.S. federal securities laws.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or the depositary were to oppose a jury trial demand based on such waiver, the court would determine whether the waiver was enforceable in the facts and circumstances of that case in accordance with applicable state and federal law, including whether a party knowingly, intelligently and voluntarily waived the right to a jury trial. The waiver to right to a jury trial in the deposit agreement is not intended to be deemed a waiver by any holder or beneficial owner of ADSs of our or the depositary’s compliance with the U.S. federal securities laws and the rules and regulations promulgated thereunder.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applicable to a particular series of debt securities, the terms of the indenture do not contain any covenants or other provisions designed to give holders of any debt securities protection against changes in our operations, financial condition or transactions involving us.</w:t>
      </w:r>
    </w:p>
    <w:p>
      <w:pPr>
        <w:spacing w:after="0" w:line="183"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61"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67" w:lineRule="exact"/>
        <w:rPr>
          <w:rFonts w:ascii="Times New Roman" w:cs="Times New Roman" w:eastAsia="Times New Roman" w:hAnsi="Times New Roman"/>
          <w:sz w:val="18"/>
          <w:szCs w:val="18"/>
          <w:color w:val="auto"/>
        </w:rPr>
      </w:pPr>
    </w:p>
    <w:p>
      <w:pPr>
        <w:ind w:left="5540" w:right="140" w:hanging="4884"/>
        <w:spacing w:after="0" w:line="454" w:lineRule="auto"/>
        <w:tabs>
          <w:tab w:leader="none" w:pos="109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40</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ordinary shares or our other securities. We will include provisions as to settlement upon conversion or exchange and whether conversion or exchange is mandatory, at the option of the holder or at our option. We may include provisions pursuant to which the number of our ordinary shares or our other securities that the holders of the series of debt securities receive would be subject to adjustment.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the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9" w:lineRule="exact"/>
        <w:rPr>
          <w:sz w:val="20"/>
          <w:szCs w:val="20"/>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67" w:lineRule="exact"/>
        <w:rPr>
          <w:sz w:val="20"/>
          <w:szCs w:val="20"/>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trustee may change the indenture without the consent of any holders with respect to specific matters:</w:t>
      </w:r>
    </w:p>
    <w:p>
      <w:pPr>
        <w:spacing w:after="0" w:line="131" w:lineRule="exact"/>
        <w:rPr>
          <w:sz w:val="20"/>
          <w:szCs w:val="20"/>
          <w:color w:val="auto"/>
        </w:rPr>
      </w:pPr>
    </w:p>
    <w:p>
      <w:pPr>
        <w:ind w:left="5540" w:right="2820" w:hanging="4884"/>
        <w:spacing w:after="0" w:line="454" w:lineRule="auto"/>
        <w:tabs>
          <w:tab w:leader="none" w:pos="109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 42</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“—Consolidation, Merger or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85"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30"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“—General” to establish the form of any certifications required to be furnished pursuant to the terms of the indenture or any series of debt securities,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85" w:lineRule="exact"/>
        <w:rPr>
          <w:sz w:val="20"/>
          <w:szCs w:val="20"/>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we can elect to be discharged from our obligations with respect to one or more series of debt securities, except for specified obligations, including obligations to:</w:t>
      </w:r>
    </w:p>
    <w:p>
      <w:pPr>
        <w:spacing w:after="0" w:line="67" w:lineRule="exact"/>
        <w:rPr>
          <w:sz w:val="20"/>
          <w:szCs w:val="20"/>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60" w:hanging="424"/>
        <w:spacing w:after="0" w:line="266"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the indenture, undertakes to perform only those duties as are specifically set forth in the indenture. Upon an event of default under the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our ordinary shares represented by ADSs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131" w:lineRule="exact"/>
        <w:rPr>
          <w:sz w:val="20"/>
          <w:szCs w:val="20"/>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ADSs and the number of ADSs to be received upon exercise;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debt securities to be received upon exercise, and a description of that series of debt securities;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fully registered form or bearer form, in definitive or global form or in any combination of these forms;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 and any applicable material U.K. tax consequences;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ADSs and/or debt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and registrar for any warrants will be set forth in the applicable prospectus supplement.</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40"/>
          </w:cols>
          <w:pgMar w:left="320" w:top="455" w:right="5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are incorporated and existing under the laws of the Cayman Islands to take advantage of certain benefits associated with being a Cayman Islands exempted company, such as:</w:t>
      </w:r>
    </w:p>
    <w:p>
      <w:pPr>
        <w:spacing w:after="0" w:line="67" w:lineRule="exact"/>
        <w:rPr>
          <w:sz w:val="20"/>
          <w:szCs w:val="20"/>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w:t>
      </w:r>
    </w:p>
    <w:p>
      <w:pPr>
        <w:spacing w:after="0" w:line="131" w:lineRule="exact"/>
        <w:rPr>
          <w:sz w:val="20"/>
          <w:szCs w:val="20"/>
          <w:color w:val="auto"/>
        </w:rPr>
      </w:pPr>
    </w:p>
    <w:p>
      <w:pPr>
        <w:ind w:left="108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provides significantly less protection to investors;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do not have standing to sue before the federal courts of the United States.</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Our constituent documents do not contain provisions requiring that disputes, including those arising under the securities laws of the United States, between us, our officers, directors and shareholders, be arbitrated.</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Certain of our assets and operations are located in China. Certain of our directors are nationals or residents of jurisdictions other than the United States that may have assets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Maples and Calder (Singapore) LLP, our legal counsel as to Cayman Islands law, and JunHe LLP, our legal counsel as to PRC law, have advised us, respectively, that there is uncertainty as to whether the courts of the Cayman Islands and PRC, respectively, would:</w:t>
      </w:r>
    </w:p>
    <w:p>
      <w:pPr>
        <w:spacing w:after="0" w:line="67" w:lineRule="exact"/>
        <w:rPr>
          <w:sz w:val="20"/>
          <w:szCs w:val="20"/>
          <w:color w:val="auto"/>
        </w:rPr>
      </w:pPr>
    </w:p>
    <w:p>
      <w:pPr>
        <w:ind w:left="1080" w:right="28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There is uncertainty with regard to Cayman Islands law relating to whether a judgment obtained from the United States courts under civil liability provisions of the securities laws will be determined by the courts of the Cayman Islands as penal or punitive in nature. If such a determination is made, the courts of the Cayman Islands will not recognize or enforce the judgment against a Cayman Islands company. Because the courts of the Cayman Islands have yet to rule on whether such judgments are penal or punitive in nature, it is uncertain whether they would be enforceable in the Cayman Islands. Maples and Calder (Singapore) LLP have advised us that although there is no statutory enforcement in the Cayman Islands of judgments obtained in the federal or state courts of the United States, a judgment in personam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w:t>
      </w:r>
    </w:p>
    <w:p>
      <w:pPr>
        <w:spacing w:after="0" w:line="97" w:lineRule="exact"/>
        <w:rPr>
          <w:sz w:val="20"/>
          <w:szCs w:val="20"/>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given by a competent foreign court with jurisdiction to give the judgment;</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a specific positive obligation on the judgment debtor (such as an obligation to pay a liquidated sum or perform a specified obligation);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final and conclusive;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 respect of taxes, a fine or a penalty;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not obtained in a manner and is not a kind of the enforcement of which is contrary to natural justice or the public policy of the Cayman Islands.</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 A Cayman Islands court may stay enforcement proceedings if concurrent proceedings are being brought elsewhere.</w:t>
      </w:r>
    </w:p>
    <w:p>
      <w:pPr>
        <w:spacing w:after="0" w:line="183"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JunHe LLP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China will not enforce a foreign judgment against us or our directors and officers if they decide that the judgment violates the basic principles of PRC law or national sovereignty, security or social public interest. As a result, it is uncertain whether and on what basis a PRC court would enforce a judgment rendered by a court in the United States or in the Cayman Islands. Under the PRC Civil Procedures Law, foreign shareholders may originate actions based on PRC law against a company in China for disputes if they can establish sufficient nexus to China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China by virtue only of holding our ADSs or ordinary shares.</w:t>
      </w:r>
    </w:p>
    <w:p>
      <w:pPr>
        <w:spacing w:after="0" w:line="19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addition, it will be difficult for U.S. shareholders to originate actions against us in China in accordance with PRC laws because we are incorporated under the laws of the Cayman Islands and it will be difficult for U.S. shareholders, by virtue only of holding our ADSs or ordinary shares, to establish a connection to China for a PRC court to have jurisdiction as required under the PRC Civil Procedures Law.</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Material income tax consequences relating to the purchase, ownership and disposition of any of the securities offered by this prospectus will be set forth in the applicable prospectus supplement relating to the offering of those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Selling shareholders are persons or entities that, directly or indirectly, have acquired or will from time to time acquire from us, our securities. If the registration statement of which this prospectus forms a part is used by selling shareholders for the resale of any securities registered thereunder, we will provide you with a prospectus supplement, which will set forth the name of each selling shareholder, the number of securities beneficially owned by such selling shareholder and the number of securities they are offering. The prospectus supplement also will disclose whether any of the selling shareholders have held any position or office with, have been employed by or otherwise have had a material relationship with us during the three years prior to the date of the prospectus supplement.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left="120" w:right="400" w:firstLine="440"/>
        <w:spacing w:after="0" w:line="276" w:lineRule="auto"/>
        <w:rPr>
          <w:sz w:val="20"/>
          <w:szCs w:val="20"/>
          <w:color w:val="auto"/>
        </w:rPr>
      </w:pPr>
      <w:r>
        <w:rPr>
          <w:rFonts w:ascii="Times New Roman" w:cs="Times New Roman" w:eastAsia="Times New Roman" w:hAnsi="Times New Roman"/>
          <w:sz w:val="17"/>
          <w:szCs w:val="17"/>
          <w:color w:val="auto"/>
        </w:rPr>
        <w:t>We or selling shareholders may offer securities under this prospectus from time to time pursuant to underwritten public offerings, negotiated transactions, block trades or a combination of these methods. We or selling shareholders may sell the securities (1) through underwriters or dealers,</w:t>
      </w:r>
    </w:p>
    <w:p>
      <w:pPr>
        <w:spacing w:after="0" w:line="1" w:lineRule="exact"/>
        <w:rPr>
          <w:sz w:val="20"/>
          <w:szCs w:val="20"/>
          <w:color w:val="auto"/>
        </w:rPr>
      </w:pPr>
    </w:p>
    <w:p>
      <w:pPr>
        <w:ind w:left="120" w:right="320" w:hanging="4"/>
        <w:spacing w:after="0" w:line="260" w:lineRule="auto"/>
        <w:tabs>
          <w:tab w:leader="none" w:pos="37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 (3) directly to one or more purchasers, or through a combination of such methods. We or selling shareholder may distribute the securities from time to time in one or more transactions at:</w:t>
      </w:r>
    </w:p>
    <w:p>
      <w:pPr>
        <w:spacing w:after="0" w:line="8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Each time that we or selling shareholders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76"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or selling shareholders may directly solicit offers to purchase the securities being offered by this prospectus. We or selling shareholders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we or selling shareholders utilize a dealer in the sale of the securities being offered by this prospectus, we or the selling shareholders will sell the securities to the dealer, as principal. The dealer may then resell the securities to the public at varying prices to be determined by the dealer at the time of resale.</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or selling shareholders utilize an underwriter in the sale of the securities being offered by this prospectus, we or the selling shareholders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the selling shareholders,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With respect to underwritten public offerings, negotiated transactions and block trades, we will provide in the applicable prospectus supplement information regarding any compensation we or selling shareholders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or selling shareholders may enter into agreements to indemnify underwriters, dealers and agents against civil liabilities, including liabilities under the Securities Act, or to contribute to payments they may be required to make in respect thereof.</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or selling shareholders may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81" w:lineRule="exact"/>
        <w:rPr>
          <w:sz w:val="20"/>
          <w:szCs w:val="20"/>
          <w:color w:val="auto"/>
        </w:rPr>
      </w:pPr>
    </w:p>
    <w:p>
      <w:pPr>
        <w:ind w:left="1080" w:right="16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8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3"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ADSs representing our ordinary shares sold pursuant to the registration statement of which this prospectus is a part will be authorized for listing and trading on The Nasdaq Global Select Market. The applicable prospectus supplement will contain information, where applicable, as to any other listing, if any, on The Nasdaq Global Select Market or any securities market or other securities exchange of the securities covered by the prospectus supplement. Underwriters may make a market in our ADSs, but will not be obligated to do so and may discontinue any market making at any time without notice. We can make no assurance as to the liquidity of or the existence, development or maintenance of trading markets for any of the securities.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55"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are being represented by Cooley LLP with respect to certain legal matters of United States federal securities and New York state law and for the validity of the warrants and debt securities offered in this offering. The validity of the ordinary shares, including ordinary shares in the form of ADSs, offered in this offering and legal matters as to Cayman Islands law will be passed upon for us by Maples and Calder (Singapore) LLP. Certain legal matters as to PRC law will be passed upon for us by JunHe LLP. Cooley LLP and Maples and Calder (Singapore) LLP may rely upon JunHe LLP with respect to legal matters governed by PRC law. Additional legal matters may be passed upon for any underwriters, dealers or agents by counsel that we will name in the applicable prospectus supplement.</w:t>
      </w: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of Legend Biotech Corporation at December 31, 2023 and 2022 and for each of the two years in the period ended December 31, 2023 appearing in Legend Biotech Corporation’s Annual Report (Form 20-F) for the year ended December 31, 2023, and the effectiveness of Legend Biotech Corporation’s internal control over financial reporting as of December 31, 2023,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9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Legend Biotech Corporation for the year ended December 31, 2021, appearing in Legend Biotech Corporation’s Annual Report (Form 20-F) for the year ended December 31, 2023 has been audited by Ernst &amp; Young Hua Ming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83"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The office of Ernst &amp; Young LLP is located at 99 South Wood Avenue in Iselin, New Jersey 08830. The offices of Ernst &amp; Young Hua Ming LLP are located at 50/F, Shanghai World Financial Center, 100 Century Avenue, Pudong New Area, Shanghai 200120, the People’s Republic of China.</w:t>
      </w:r>
    </w:p>
    <w:p>
      <w:pPr>
        <w:spacing w:after="0" w:line="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80"/>
          </w:cols>
          <w:pgMar w:left="320" w:top="455" w:right="4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ABOUT US</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are currently subject to periodic reporting and other informational requirements of the Exchange Act, as applicable to foreign private issuers. Accordingly, we are required to file reports, including annual reports on Form 20-F and other information with the SEC. The SEC maintains a website that contains reports, proxy and information statements and other information regarding registrants that file electronically with the SEC. The address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We also maintain a website at www.legendbiotech.com though which you can access our SEC filings. The information set forth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website is not part of this prospectus.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generally accepted accounting principles in the United States, and all notices of shareholders’ meetings and other reports and communications that are made generally available to our shareholders. The depositary will make such notices, reports and communications available to holders of ADSs and will mail to all record holders of ADSs the information contained in any notice of a shareholders’ meeting received by the depositary from us if we ask it to.</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80"/>
          </w:cols>
          <w:pgMar w:left="320" w:top="455" w:right="4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 this prospectus, you should rely on the information contained in the document that was filed later.</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incorporate by reference the documents listed below:</w:t>
      </w:r>
    </w:p>
    <w:p>
      <w:pPr>
        <w:spacing w:after="0" w:line="131" w:lineRule="exact"/>
        <w:rPr>
          <w:sz w:val="20"/>
          <w:szCs w:val="20"/>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45">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March 19, 2024 (File No. 001-39307);</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9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the securities contained in our registration statement on </w:t>
      </w:r>
      <w:hyperlink r:id="rId6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June 2, 2020 (File No. 001-39307) pursuant to Section 12 of the Exchange Act, together with all amendments and reports filed for the purpose of updating that description, including </w:t>
      </w:r>
      <w:hyperlink r:id="rId146">
        <w:r>
          <w:rPr>
            <w:rFonts w:ascii="Times New Roman" w:cs="Times New Roman" w:eastAsia="Times New Roman" w:hAnsi="Times New Roman"/>
            <w:sz w:val="18"/>
            <w:szCs w:val="18"/>
            <w:u w:val="single" w:color="auto"/>
            <w:color w:val="0000EE"/>
          </w:rPr>
          <w:t>Exhibit 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Annual Report on Form 20-F for the year ended December 31, 2023;</w:t>
      </w:r>
    </w:p>
    <w:p>
      <w:pPr>
        <w:spacing w:after="0" w:line="81" w:lineRule="exact"/>
        <w:rPr>
          <w:rFonts w:ascii="Times New Roman" w:cs="Times New Roman" w:eastAsia="Times New Roman" w:hAnsi="Times New Roman"/>
          <w:sz w:val="18"/>
          <w:szCs w:val="18"/>
          <w:color w:val="0000EE"/>
        </w:rPr>
      </w:pPr>
    </w:p>
    <w:p>
      <w:pPr>
        <w:ind w:left="1080" w:right="20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annual reports on Form 20-F filed with the SEC after the date of this prospectus and prior to the termination of the offering of the securities offered by this prospectus;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current reports on Form 6-K that we furnish to the SEC on or after the date of this prospectus and prior to the termination of the offering of the securities offered by this prospectus that are identified in such reports or in any applicable prospectus supplement as being incorporated by reference in this prospectus.</w:t>
      </w:r>
    </w:p>
    <w:p>
      <w:pPr>
        <w:spacing w:after="0" w:line="176" w:lineRule="exact"/>
        <w:rPr>
          <w:rFonts w:ascii="Times New Roman" w:cs="Times New Roman" w:eastAsia="Times New Roman" w:hAnsi="Times New Roman"/>
          <w:sz w:val="18"/>
          <w:szCs w:val="18"/>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39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p>
      <w:pPr>
        <w:spacing w:after="0" w:line="31"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2101 Cottontail Lane</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Somerset, NJ 08873</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(732) 317-5050</w:t>
      </w:r>
    </w:p>
    <w:p>
      <w:pPr>
        <w:spacing w:after="0" w:line="207" w:lineRule="exact"/>
        <w:rPr>
          <w:rFonts w:ascii="Times New Roman" w:cs="Times New Roman" w:eastAsia="Times New Roman" w:hAnsi="Times New Roman"/>
          <w:sz w:val="18"/>
          <w:szCs w:val="18"/>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You may also access these documents on our website, www.legendbiotech.com. The information contained on this website is not a part of this prospectus.</w:t>
      </w:r>
    </w:p>
    <w:p>
      <w:pPr>
        <w:spacing w:after="0" w:line="162" w:lineRule="exact"/>
        <w:rPr>
          <w:rFonts w:ascii="Times New Roman" w:cs="Times New Roman" w:eastAsia="Times New Roman" w:hAnsi="Times New Roman"/>
          <w:sz w:val="18"/>
          <w:szCs w:val="18"/>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spacing w:after="0" w:line="108"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26670</wp:posOffset>
            </wp:positionV>
            <wp:extent cx="2366010" cy="10033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236601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9"/>
        <w:spacing w:after="0"/>
        <w:tabs>
          <w:tab w:leader="none" w:pos="280" w:val="left"/>
        </w:tabs>
        <w:rPr>
          <w:sz w:val="20"/>
          <w:szCs w:val="20"/>
          <w:color w:val="auto"/>
        </w:rPr>
      </w:pPr>
      <w:r>
        <w:rPr>
          <w:rFonts w:ascii="Times New Roman" w:cs="Times New Roman" w:eastAsia="Times New Roman" w:hAnsi="Times New Roman"/>
          <w:sz w:val="29"/>
          <w:szCs w:val="29"/>
          <w:b w:val="1"/>
          <w:bCs w:val="1"/>
          <w:color w:val="auto"/>
        </w:rPr>
        <w:t xml:space="preserve">Representing          </w:t>
      </w:r>
      <w:r>
        <w:rPr>
          <w:sz w:val="20"/>
          <w:szCs w:val="20"/>
          <w:color w:val="auto"/>
        </w:rPr>
        <w:tab/>
      </w:r>
      <w:r>
        <w:rPr>
          <w:rFonts w:ascii="Times New Roman" w:cs="Times New Roman" w:eastAsia="Times New Roman" w:hAnsi="Times New Roman"/>
          <w:sz w:val="28"/>
          <w:szCs w:val="28"/>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498475</wp:posOffset>
            </wp:positionV>
            <wp:extent cx="1474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Joint Bookrunners</w:t>
      </w:r>
    </w:p>
    <w:p>
      <w:pPr>
        <w:spacing w:after="0" w:line="200" w:lineRule="exact"/>
        <w:rPr>
          <w:sz w:val="20"/>
          <w:szCs w:val="20"/>
          <w:color w:val="auto"/>
        </w:rPr>
      </w:pPr>
    </w:p>
    <w:p>
      <w:pPr>
        <w:spacing w:after="0" w:line="294" w:lineRule="exact"/>
        <w:rPr>
          <w:sz w:val="20"/>
          <w:szCs w:val="20"/>
          <w:color w:val="auto"/>
        </w:rPr>
      </w:pPr>
    </w:p>
    <w:p>
      <w:pPr>
        <w:ind w:left="120"/>
        <w:spacing w:after="0"/>
        <w:tabs>
          <w:tab w:leader="none" w:pos="3300" w:val="left"/>
          <w:tab w:leader="none" w:pos="5420" w:val="left"/>
          <w:tab w:leader="none" w:pos="8380" w:val="left"/>
        </w:tabs>
        <w:rPr>
          <w:sz w:val="20"/>
          <w:szCs w:val="20"/>
          <w:color w:val="auto"/>
        </w:rPr>
      </w:pPr>
      <w:r>
        <w:rPr>
          <w:rFonts w:ascii="Times New Roman" w:cs="Times New Roman" w:eastAsia="Times New Roman" w:hAnsi="Times New Roman"/>
          <w:sz w:val="25"/>
          <w:szCs w:val="25"/>
          <w:b w:val="1"/>
          <w:bCs w:val="1"/>
          <w:color w:val="auto"/>
        </w:rPr>
        <w:t>Morgan Stanley</w:t>
      </w:r>
      <w:r>
        <w:rPr>
          <w:sz w:val="20"/>
          <w:szCs w:val="20"/>
          <w:color w:val="auto"/>
        </w:rPr>
        <w:tab/>
      </w:r>
      <w:r>
        <w:rPr>
          <w:rFonts w:ascii="Times New Roman" w:cs="Times New Roman" w:eastAsia="Times New Roman" w:hAnsi="Times New Roman"/>
          <w:sz w:val="25"/>
          <w:szCs w:val="25"/>
          <w:b w:val="1"/>
          <w:bCs w:val="1"/>
          <w:color w:val="auto"/>
        </w:rPr>
        <w:t>Jefferies</w:t>
      </w:r>
      <w:r>
        <w:rPr>
          <w:sz w:val="20"/>
          <w:szCs w:val="20"/>
          <w:color w:val="auto"/>
        </w:rPr>
        <w:tab/>
      </w:r>
      <w:r>
        <w:rPr>
          <w:rFonts w:ascii="Times New Roman" w:cs="Times New Roman" w:eastAsia="Times New Roman" w:hAnsi="Times New Roman"/>
          <w:sz w:val="25"/>
          <w:szCs w:val="25"/>
          <w:b w:val="1"/>
          <w:bCs w:val="1"/>
          <w:color w:val="auto"/>
        </w:rPr>
        <w:t>Citigroup</w:t>
      </w:r>
      <w:r>
        <w:rPr>
          <w:sz w:val="20"/>
          <w:szCs w:val="20"/>
          <w:color w:val="auto"/>
        </w:rPr>
        <w:tab/>
      </w:r>
      <w:r>
        <w:rPr>
          <w:rFonts w:ascii="Times New Roman" w:cs="Times New Roman" w:eastAsia="Times New Roman" w:hAnsi="Times New Roman"/>
          <w:sz w:val="25"/>
          <w:szCs w:val="25"/>
          <w:b w:val="1"/>
          <w:bCs w:val="1"/>
          <w:color w:val="auto"/>
        </w:rPr>
        <w:t>Deutsche Bank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624205</wp:posOffset>
            </wp:positionV>
            <wp:extent cx="1474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1674495</wp:posOffset>
            </wp:positionV>
            <wp:extent cx="69951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1743075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1)"/>
      <w:numFmt w:val="decimal"/>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1)"/>
      <w:numFmt w:val="decimal"/>
      <w:start w:val="732"/>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1)"/>
      <w:numFmt w:val="decimal"/>
      <w:start w:val="1"/>
    </w:lvl>
  </w:abstractNum>
  <w:abstractNum w:abstractNumId="22">
    <w:nsid w:val="235BA861"/>
    <w:multiLevelType w:val="hybridMultilevel"/>
    <w:lvl w:ilvl="0">
      <w:lvlJc w:val="left"/>
      <w:lvlText w:val="(%1)"/>
      <w:numFmt w:val="decimal"/>
      <w:start w:val="1"/>
    </w:lvl>
  </w:abstractNum>
  <w:abstractNum w:abstractNumId="23">
    <w:nsid w:val="47398C89"/>
    <w:multiLevelType w:val="hybridMultilevel"/>
    <w:lvl w:ilvl="0">
      <w:lvlJc w:val="left"/>
      <w:lvlText w:val="(%1)"/>
      <w:numFmt w:val="decimal"/>
      <w:start w:val="7"/>
    </w:lvl>
  </w:abstractNum>
  <w:abstractNum w:abstractNumId="24">
    <w:nsid w:val="354FE9F9"/>
    <w:multiLevelType w:val="hybridMultilevel"/>
    <w:lvl w:ilvl="0">
      <w:lvlJc w:val="left"/>
      <w:lvlText w:val="(%1)"/>
      <w:numFmt w:val="lowerLetter"/>
      <w:start w:val="1"/>
    </w:lvl>
  </w:abstractNum>
  <w:abstractNum w:abstractNumId="25">
    <w:nsid w:val="15B5AF5C"/>
    <w:multiLevelType w:val="hybridMultilevel"/>
    <w:lvl w:ilvl="0">
      <w:lvlJc w:val="left"/>
      <w:lvlText w:val="(%1)"/>
      <w:numFmt w:val="lowerLetter"/>
      <w:start w:val="1"/>
    </w:lvl>
  </w:abstractNum>
  <w:abstractNum w:abstractNumId="26">
    <w:nsid w:val="741226BB"/>
    <w:multiLevelType w:val="hybridMultilevel"/>
    <w:lvl w:ilvl="0">
      <w:lvlJc w:val="left"/>
      <w:lvlText w:val="(%1)"/>
      <w:numFmt w:val="lowerLetter"/>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1)"/>
      <w:numFmt w:val="lowerRoman"/>
      <w:start w:val="3"/>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1)"/>
      <w:numFmt w:val="decimal"/>
      <w:start w:val="732"/>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
      <w:numFmt w:val="bullet"/>
      <w:start w:val="1"/>
    </w:lvl>
  </w:abstractNum>
  <w:abstractNum w:abstractNumId="56">
    <w:nsid w:val="7BD3EE7B"/>
    <w:multiLevelType w:val="hybridMultilevel"/>
    <w:lvl w:ilvl="0">
      <w:lvlJc w:val="left"/>
      <w:lvlText w:val="(%1)"/>
      <w:numFmt w:val="lowerRoman"/>
      <w:start w:val="4"/>
    </w:lvl>
  </w:abstractNum>
  <w:abstractNum w:abstractNumId="57">
    <w:nsid w:val="51D9C564"/>
    <w:multiLevelType w:val="hybridMultilevel"/>
    <w:lvl w:ilvl="0">
      <w:lvlJc w:val="left"/>
      <w:lvlText w:val="•"/>
      <w:numFmt w:val="bullet"/>
      <w:start w:val="1"/>
    </w:lvl>
  </w:abstractNum>
  <w:abstractNum w:abstractNumId="58">
    <w:nsid w:val="613EFDC5"/>
    <w:multiLevelType w:val="hybridMultilevel"/>
    <w:lvl w:ilvl="0">
      <w:lvlJc w:val="left"/>
      <w:lvlText w:val="•"/>
      <w:numFmt w:val="bullet"/>
      <w:start w:val="1"/>
    </w:lvl>
  </w:abstractNum>
  <w:abstractNum w:abstractNumId="59">
    <w:nsid w:val="BF72B14"/>
    <w:multiLevelType w:val="hybridMultilevel"/>
    <w:lvl w:ilvl="0">
      <w:lvlJc w:val="left"/>
      <w:lvlText w:val="•"/>
      <w:numFmt w:val="bullet"/>
      <w:start w:val="1"/>
    </w:lvl>
    <w:lvl w:ilvl="1">
      <w:lvlJc w:val="left"/>
      <w:lvlText w:val="%2"/>
      <w:numFmt w:val="lowerRoman"/>
      <w:start w:val="1"/>
    </w:lvl>
    <w:lvl w:ilvl="2">
      <w:lvlJc w:val="left"/>
      <w:lvlText w:val="(%3)"/>
      <w:numFmt w:val="lowerRoman"/>
      <w:start w:val="1"/>
    </w:lvl>
  </w:abstractNum>
  <w:abstractNum w:abstractNumId="60">
    <w:nsid w:val="11447B73"/>
    <w:multiLevelType w:val="hybridMultilevel"/>
    <w:lvl w:ilvl="0">
      <w:lvlJc w:val="left"/>
      <w:lvlText w:val="•"/>
      <w:numFmt w:val="bullet"/>
      <w:start w:val="1"/>
    </w:lvl>
    <w:lvl w:ilvl="1">
      <w:lvlJc w:val="left"/>
      <w:lvlText w:val="(%2)"/>
      <w:numFmt w:val="lowerRoman"/>
      <w:start w:val="1"/>
    </w:lvl>
    <w:lvl w:ilvl="2">
      <w:lvlJc w:val="left"/>
      <w:lvlText w:val="%3"/>
      <w:numFmt w:val="lowerRoman"/>
      <w:start w:val="1"/>
    </w:lvl>
  </w:abstractNum>
  <w:abstractNum w:abstractNumId="61">
    <w:nsid w:val="42963E5A"/>
    <w:multiLevelType w:val="hybridMultilevel"/>
    <w:lvl w:ilvl="0">
      <w:lvlJc w:val="left"/>
      <w:lvlText w:val="•"/>
      <w:numFmt w:val="bullet"/>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
      <w:numFmt w:val="bullet"/>
      <w:start w:val="1"/>
    </w:lvl>
  </w:abstractNum>
  <w:abstractNum w:abstractNumId="64">
    <w:nsid w:val="1A32234B"/>
    <w:multiLevelType w:val="hybridMultilevel"/>
    <w:lvl w:ilvl="0">
      <w:lvlJc w:val="left"/>
      <w:lvlText w:val="(%1)"/>
      <w:numFmt w:val="upperLetter"/>
      <w:start w:val="3"/>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
      <w:numFmt w:val="bullet"/>
      <w:start w:val="1"/>
    </w:lvl>
  </w:abstractNum>
  <w:abstractNum w:abstractNumId="67">
    <w:nsid w:val="4962813B"/>
    <w:multiLevelType w:val="hybridMultilevel"/>
    <w:lvl w:ilvl="0">
      <w:lvlJc w:val="left"/>
      <w:lvlText w:val="(%1)"/>
      <w:numFmt w:val="lowerRoman"/>
      <w:start w:val="2"/>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
      <w:numFmt w:val="bullet"/>
      <w:start w:val="1"/>
    </w:lvl>
  </w:abstractNum>
  <w:abstractNum w:abstractNumId="71">
    <w:nsid w:val="7FFFCA11"/>
    <w:multiLevelType w:val="hybridMultilevel"/>
    <w:lvl w:ilvl="0">
      <w:lvlJc w:val="left"/>
      <w:lvlText w:val="•"/>
      <w:numFmt w:val="bullet"/>
      <w:start w:val="1"/>
    </w:lvl>
  </w:abstractNum>
  <w:abstractNum w:abstractNumId="72">
    <w:nsid w:val="1A27709E"/>
    <w:multiLevelType w:val="hybridMultilevel"/>
    <w:lvl w:ilvl="0">
      <w:lvlJc w:val="left"/>
      <w:lvlText w:val="•"/>
      <w:numFmt w:val="bullet"/>
      <w:start w:val="1"/>
    </w:lvl>
  </w:abstractNum>
  <w:abstractNum w:abstractNumId="73">
    <w:nsid w:val="71EA1109"/>
    <w:multiLevelType w:val="hybridMultilevel"/>
    <w:lvl w:ilvl="0">
      <w:lvlJc w:val="left"/>
      <w:lvlText w:val="•"/>
      <w:numFmt w:val="bullet"/>
      <w:start w:val="1"/>
    </w:lvl>
  </w:abstractNum>
  <w:abstractNum w:abstractNumId="74">
    <w:nsid w:val="100F59DC"/>
    <w:multiLevelType w:val="hybridMultilevel"/>
    <w:lvl w:ilvl="0">
      <w:lvlJc w:val="left"/>
      <w:lvlText w:val="•"/>
      <w:numFmt w:val="bullet"/>
      <w:start w:val="1"/>
    </w:lvl>
  </w:abstractNum>
  <w:abstractNum w:abstractNumId="75">
    <w:nsid w:val="7FB7E0AA"/>
    <w:multiLevelType w:val="hybridMultilevel"/>
    <w:lvl w:ilvl="0">
      <w:lvlJc w:val="left"/>
      <w:lvlText w:val="•"/>
      <w:numFmt w:val="bullet"/>
      <w:start w:val="1"/>
    </w:lvl>
  </w:abstractNum>
  <w:abstractNum w:abstractNumId="76">
    <w:nsid w:val="6EB5BD4"/>
    <w:multiLevelType w:val="hybridMultilevel"/>
    <w:lvl w:ilvl="0">
      <w:lvlJc w:val="left"/>
      <w:lvlText w:val="•"/>
      <w:numFmt w:val="bullet"/>
      <w:start w:val="1"/>
    </w:lvl>
  </w:abstractNum>
  <w:abstractNum w:abstractNumId="77">
    <w:nsid w:val="6F6DD9AC"/>
    <w:multiLevelType w:val="hybridMultilevel"/>
    <w:lvl w:ilvl="0">
      <w:lvlJc w:val="left"/>
      <w:lvlText w:val="•"/>
      <w:numFmt w:val="bullet"/>
      <w:start w:val="1"/>
    </w:lvl>
  </w:abstractNum>
  <w:abstractNum w:abstractNumId="78">
    <w:nsid w:val="94211F2"/>
    <w:multiLevelType w:val="hybridMultilevel"/>
    <w:lvl w:ilvl="0">
      <w:lvlJc w:val="left"/>
      <w:lvlText w:val="•"/>
      <w:numFmt w:val="bullet"/>
      <w:start w:val="1"/>
    </w:lvl>
  </w:abstractNum>
  <w:abstractNum w:abstractNumId="79">
    <w:nsid w:val="885E1B"/>
    <w:multiLevelType w:val="hybridMultilevel"/>
    <w:lvl w:ilvl="0">
      <w:lvlJc w:val="left"/>
      <w:lvlText w:val="•"/>
      <w:numFmt w:val="bullet"/>
      <w:start w:val="1"/>
    </w:lvl>
  </w:abstractNum>
  <w:abstractNum w:abstractNumId="80">
    <w:nsid w:val="76272110"/>
    <w:multiLevelType w:val="hybridMultilevel"/>
    <w:lvl w:ilvl="0">
      <w:lvlJc w:val="left"/>
      <w:lvlText w:val="•"/>
      <w:numFmt w:val="bullet"/>
      <w:start w:val="1"/>
    </w:lvl>
  </w:abstractNum>
  <w:abstractNum w:abstractNumId="81">
    <w:nsid w:val="4C04A8AF"/>
    <w:multiLevelType w:val="hybridMultilevel"/>
    <w:lvl w:ilvl="0">
      <w:lvlJc w:val="left"/>
      <w:lvlText w:val="•"/>
      <w:numFmt w:val="bullet"/>
      <w:start w:val="1"/>
    </w:lvl>
  </w:abstractNum>
  <w:abstractNum w:abstractNumId="82">
    <w:nsid w:val="1716703B"/>
    <w:multiLevelType w:val="hybridMultilevel"/>
    <w:lvl w:ilvl="0">
      <w:lvlJc w:val="left"/>
      <w:lvlText w:val="•"/>
      <w:numFmt w:val="bullet"/>
      <w:start w:val="1"/>
    </w:lvl>
  </w:abstractNum>
  <w:abstractNum w:abstractNumId="83">
    <w:nsid w:val="14E17E33"/>
    <w:multiLevelType w:val="hybridMultilevel"/>
    <w:lvl w:ilvl="0">
      <w:lvlJc w:val="left"/>
      <w:lvlText w:val="•"/>
      <w:numFmt w:val="bullet"/>
      <w:start w:val="1"/>
    </w:lvl>
  </w:abstractNum>
  <w:abstractNum w:abstractNumId="84">
    <w:nsid w:val="3222E7CD"/>
    <w:multiLevelType w:val="hybridMultilevel"/>
    <w:lvl w:ilvl="0">
      <w:lvlJc w:val="left"/>
      <w:lvlText w:val="•"/>
      <w:numFmt w:val="bullet"/>
      <w:start w:val="1"/>
    </w:lvl>
  </w:abstractNum>
  <w:abstractNum w:abstractNumId="85">
    <w:nsid w:val="74DE0EE3"/>
    <w:multiLevelType w:val="hybridMultilevel"/>
    <w:lvl w:ilvl="0">
      <w:lvlJc w:val="left"/>
      <w:lvlText w:val="•"/>
      <w:numFmt w:val="bullet"/>
      <w:start w:val="1"/>
    </w:lvl>
  </w:abstractNum>
  <w:abstractNum w:abstractNumId="86">
    <w:nsid w:val="68EBC550"/>
    <w:multiLevelType w:val="hybridMultilevel"/>
    <w:lvl w:ilvl="0">
      <w:lvlJc w:val="left"/>
      <w:lvlText w:val="•"/>
      <w:numFmt w:val="bullet"/>
      <w:start w:val="1"/>
    </w:lvl>
  </w:abstractNum>
  <w:abstractNum w:abstractNumId="87">
    <w:nsid w:val="2DF6D648"/>
    <w:multiLevelType w:val="hybridMultilevel"/>
    <w:lvl w:ilvl="0">
      <w:lvlJc w:val="left"/>
      <w:lvlText w:val="•"/>
      <w:numFmt w:val="bullet"/>
      <w:start w:val="1"/>
    </w:lvl>
  </w:abstractNum>
  <w:abstractNum w:abstractNumId="88">
    <w:nsid w:val="46B7D447"/>
    <w:multiLevelType w:val="hybridMultilevel"/>
    <w:lvl w:ilvl="0">
      <w:lvlJc w:val="left"/>
      <w:lvlText w:val="•"/>
      <w:numFmt w:val="bullet"/>
      <w:start w:val="1"/>
    </w:lvl>
  </w:abstractNum>
  <w:abstractNum w:abstractNumId="89">
    <w:nsid w:val="4A2AC315"/>
    <w:multiLevelType w:val="hybridMultilevel"/>
    <w:lvl w:ilvl="0">
      <w:lvlJc w:val="left"/>
      <w:lvlText w:val="•"/>
      <w:numFmt w:val="bullet"/>
      <w:start w:val="1"/>
    </w:lvl>
  </w:abstractNum>
  <w:abstractNum w:abstractNumId="90">
    <w:nsid w:val="39EE015C"/>
    <w:multiLevelType w:val="hybridMultilevel"/>
    <w:lvl w:ilvl="0">
      <w:lvlJc w:val="left"/>
      <w:lvlText w:val="(%1)"/>
      <w:numFmt w:val="decimal"/>
      <w:start w:val="2"/>
    </w:lvl>
    <w:lvl w:ilvl="1">
      <w:lvlJc w:val="left"/>
      <w:lvlText w:val="•"/>
      <w:numFmt w:val="bullet"/>
      <w:start w:val="1"/>
    </w:lvl>
  </w:abstractNum>
  <w:abstractNum w:abstractNumId="91">
    <w:nsid w:val="57FC4FBB"/>
    <w:multiLevelType w:val="hybridMultilevel"/>
    <w:lvl w:ilvl="0">
      <w:lvlJc w:val="left"/>
      <w:lvlText w:val="•"/>
      <w:numFmt w:val="bullet"/>
      <w:start w:val="1"/>
    </w:lvl>
  </w:abstractNum>
  <w:abstractNum w:abstractNumId="92">
    <w:nsid w:val="CC1016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jpe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jpe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66" Type="http://schemas.openxmlformats.org/officeDocument/2006/relationships/hyperlink" Target="http://www.sec.gov/ix?doc=/Archives/edgar/data/1801198/000180119826000008/legn-20251231.htm" TargetMode="External"/><Relationship Id="rId67" Type="http://schemas.openxmlformats.org/officeDocument/2006/relationships/hyperlink" Target="http://www.sec.gov/Archives/edgar/data/1801198/000119312520158448/d904346d8a12b.htm" TargetMode="External"/><Relationship Id="rId68" Type="http://schemas.openxmlformats.org/officeDocument/2006/relationships/hyperlink" Target="http://www.sec.gov/Archives/edgar/data/1801198/000180119826000008/exhibit24.htm" TargetMode="External"/><Relationship Id="rId69" Type="http://schemas.openxmlformats.org/officeDocument/2006/relationships/hyperlink" Target="http://www.sec.gov/Archives/edgar/data/1801198/000117184326000675/f6k_020426.htm" TargetMode="External"/><Relationship Id="rId70" Type="http://schemas.openxmlformats.org/officeDocument/2006/relationships/hyperlink" Target="http://www.sec.gov/Archives/edgar/data/1801198/000117184326001444/f6k_030926.htm" TargetMode="External"/><Relationship Id="rId71" Type="http://schemas.openxmlformats.org/officeDocument/2006/relationships/hyperlink" Target="http://www.sec.gov/Archives/edgar/data/1801198/000117184326002425/f6k_041426.htm" TargetMode="External"/><Relationship Id="rId72" Type="http://schemas.openxmlformats.org/officeDocument/2006/relationships/hyperlink" Target="http://www.sec.gov/ix?doc=/Archives/edgar/data/1801198/000180119826000014/legn-20260331.htm" TargetMode="External"/><Relationship Id="rId73" Type="http://schemas.openxmlformats.org/officeDocument/2006/relationships/hyperlink" Target="http://www.sec.gov/Archives/edgar/data/1801198/000117184326003622/f6k_052126.htm" TargetMode="External"/><Relationship Id="rId74" Type="http://schemas.openxmlformats.org/officeDocument/2006/relationships/hyperlink" Target="http://www.sec.gov/Archives/edgar/data/1801198/000117184326003825/f6k_060126.htm" TargetMode="External"/><Relationship Id="rId75" Type="http://schemas.openxmlformats.org/officeDocument/2006/relationships/hyperlink" Target="http://www.sec.gov/Archives/edgar/data/1801198/000117184326003866/f6k_060126.htm" TargetMode="External"/><Relationship Id="rId76" Type="http://schemas.openxmlformats.org/officeDocument/2006/relationships/hyperlink" Target="http://www.sec.gov/Archives/edgar/data/1801198/000117184326004120/f6k_061426.htm" TargetMode="External"/><Relationship Id="rId145" Type="http://schemas.openxmlformats.org/officeDocument/2006/relationships/hyperlink" Target="http://www.sec.gov/ix?doc=/Archives/edgar/data/0001801198/000180119824000021/legn-20231231.htm" TargetMode="External"/><Relationship Id="rId146" Type="http://schemas.openxmlformats.org/officeDocument/2006/relationships/hyperlink" Target="http://www.sec.gov/Archives/edgar/data/1801198/000180119824000021/exhibit2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2026-06-17T16:04:59Z</dcterms:created>
  <dcterms:modified xsi:type="dcterms:W3CDTF">2026-06-17T16:04:59Z</dcterms:modified>
</cp:coreProperties>
</file>