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 w:after="20"/>
        <w:jc w:val="left"/>
        <w:rPr>
          <w:bdr w:val="single" w:sz="6" w:space="1" w:color="000000"/>
        </w:rPr>
      </w:pPr>
      <w:bookmarkStart w:id="0" w:name="f6k_071426.htm"/>
      <w:bookmarkStart w:id="1" w:name="ksf6k_071426"/>
      <w:bookmarkEnd w:id="0"/>
      <w:bookmarkEnd w:id="1"/>
      <w:r>
        <w:rPr>
          <w:bdr w:val="single" w:sz="6" w:space="1" w:color="000000"/>
        </w:rPr>
        <w:t> </w:t>
      </w:r>
    </w:p>
    <w:p>
      <w:pPr>
        <w:pStyle w:val="TextBody"/>
        <w:bidi w:val="0"/>
        <w:spacing w:before="20" w:after="20"/>
        <w:jc w:val="left"/>
        <w:rPr>
          <w:bdr w:val="single" w:sz="24" w:space="1" w:color="000000"/>
        </w:rPr>
      </w:pPr>
      <w:r>
        <w:rPr>
          <w:bdr w:val="single" w:sz="24"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 xml:space="preserve">UNITED STATES </w:t>
      </w:r>
    </w:p>
    <w:p>
      <w:pPr>
        <w:pStyle w:val="TextBody"/>
        <w:bidi w:val="0"/>
        <w:spacing w:before="0" w:after="0"/>
        <w:ind w:left="0" w:right="0" w:hanging="0"/>
        <w:jc w:val="center"/>
        <w:rPr>
          <w:b/>
          <w:sz w:val="36"/>
        </w:rPr>
      </w:pPr>
      <w:r>
        <w:rPr>
          <w:b/>
          <w:sz w:val="36"/>
        </w:rPr>
        <w:t xml:space="preserve">SECURITIES AND EXCHANGE COMMISSION </w:t>
      </w:r>
    </w:p>
    <w:p>
      <w:pPr>
        <w:pStyle w:val="TextBody"/>
        <w:bidi w:val="0"/>
        <w:spacing w:before="0" w:after="0"/>
        <w:ind w:left="0" w:right="0" w:hanging="0"/>
        <w:jc w:val="center"/>
        <w:rPr>
          <w:b/>
          <w:sz w:val="20"/>
        </w:rPr>
      </w:pPr>
      <w:r>
        <w:rPr>
          <w:b/>
          <w:sz w:val="20"/>
        </w:rPr>
        <w:t xml:space="preserve">Washington, D.C. 20549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 xml:space="preserve">FORM 6-K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Report of Foreign Private Issuer </w:t>
      </w:r>
    </w:p>
    <w:p>
      <w:pPr>
        <w:pStyle w:val="TextBody"/>
        <w:bidi w:val="0"/>
        <w:spacing w:before="0" w:after="0"/>
        <w:ind w:left="0" w:right="0" w:hanging="0"/>
        <w:jc w:val="center"/>
        <w:rPr>
          <w:b/>
          <w:sz w:val="20"/>
        </w:rPr>
      </w:pPr>
      <w:r>
        <w:rPr>
          <w:b/>
          <w:sz w:val="20"/>
        </w:rPr>
        <w:t xml:space="preserve">Pursuant to Rule 13a-16 or 15d-16 </w:t>
      </w:r>
    </w:p>
    <w:p>
      <w:pPr>
        <w:pStyle w:val="TextBody"/>
        <w:bidi w:val="0"/>
        <w:spacing w:before="0" w:after="0"/>
        <w:ind w:left="0" w:right="0" w:hanging="0"/>
        <w:jc w:val="center"/>
        <w:rPr>
          <w:b/>
          <w:sz w:val="20"/>
        </w:rPr>
      </w:pPr>
      <w:r>
        <w:rPr>
          <w:b/>
          <w:sz w:val="20"/>
        </w:rPr>
        <w:t>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Date of Report: July 15, 2026</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Commission File Number: 001-39307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48"/>
        </w:rPr>
      </w:pPr>
      <w:r>
        <w:rPr>
          <w:b/>
          <w:sz w:val="48"/>
        </w:rPr>
        <w:t xml:space="preserve">Legend Biotech Corporation </w:t>
      </w:r>
    </w:p>
    <w:p>
      <w:pPr>
        <w:pStyle w:val="TextBody"/>
        <w:bidi w:val="0"/>
        <w:spacing w:before="0" w:after="0"/>
        <w:ind w:left="0" w:right="0" w:hanging="0"/>
        <w:jc w:val="center"/>
        <w:rPr>
          <w:b/>
          <w:sz w:val="20"/>
        </w:rPr>
      </w:pPr>
      <w:r>
        <w:rPr>
          <w:b/>
          <w:sz w:val="20"/>
        </w:rPr>
        <w:t xml:space="preserve">(Exact Name of Registrant as Specified in its Charter)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77 Corporate Drive</w:t>
      </w:r>
    </w:p>
    <w:p>
      <w:pPr>
        <w:pStyle w:val="TextBody"/>
        <w:bidi w:val="0"/>
        <w:spacing w:before="0" w:after="0"/>
        <w:ind w:left="0" w:right="0" w:hanging="0"/>
        <w:jc w:val="center"/>
        <w:rPr>
          <w:b/>
          <w:sz w:val="20"/>
        </w:rPr>
      </w:pPr>
      <w:r>
        <w:rPr>
          <w:b/>
          <w:sz w:val="20"/>
        </w:rPr>
        <w:t xml:space="preserve">Bridgewater, New Jersey 08807 </w:t>
      </w:r>
    </w:p>
    <w:p>
      <w:pPr>
        <w:pStyle w:val="TextBody"/>
        <w:bidi w:val="0"/>
        <w:spacing w:before="0" w:after="0"/>
        <w:ind w:left="0" w:right="0" w:hanging="0"/>
        <w:jc w:val="center"/>
        <w:rPr>
          <w:b/>
          <w:sz w:val="20"/>
        </w:rPr>
      </w:pPr>
      <w:r>
        <w:rPr>
          <w:b/>
          <w:sz w:val="20"/>
        </w:rPr>
        <w:t xml:space="preserve">(Address of principal executive office)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Indicate by check mark whether the registrant files or will file annual reports under cover of Form 20-F or Form 40-F:</w:t>
      </w:r>
    </w:p>
    <w:p>
      <w:pPr>
        <w:pStyle w:val="TextBody"/>
        <w:bidi w:val="0"/>
        <w:spacing w:before="0" w:after="0"/>
        <w:ind w:left="0" w:right="0" w:firstLine="720"/>
        <w:jc w:val="left"/>
        <w:rPr/>
      </w:pPr>
      <w:r>
        <w:rPr/>
        <w:t> </w:t>
      </w:r>
    </w:p>
    <w:p>
      <w:pPr>
        <w:pStyle w:val="TextBody"/>
        <w:bidi w:val="0"/>
        <w:spacing w:before="0" w:after="0"/>
        <w:ind w:left="0" w:right="0" w:hanging="0"/>
        <w:jc w:val="center"/>
        <w:rPr>
          <w:sz w:val="20"/>
        </w:rPr>
      </w:pPr>
      <w:r>
        <w:rPr>
          <w:sz w:val="20"/>
        </w:rPr>
        <w:t>Form 20-F  ☒            Form 40-F  ☐</w:t>
      </w:r>
    </w:p>
    <w:p>
      <w:pPr>
        <w:pStyle w:val="TextBody"/>
        <w:bidi w:val="0"/>
        <w:spacing w:before="0" w:after="0"/>
        <w:ind w:left="0" w:right="0" w:firstLine="720"/>
        <w:jc w:val="left"/>
        <w:rPr/>
      </w:pPr>
      <w:r>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Legend Biotech Announces Preliminary Sales for CARVYKTI</w:t>
      </w:r>
      <w:r>
        <w:rPr>
          <w:b/>
          <w:position w:val="7"/>
          <w:sz w:val="16"/>
          <w:sz w:val="20"/>
        </w:rPr>
        <w:t>®</w:t>
      </w:r>
      <w:r>
        <w:rPr>
          <w:b/>
          <w:sz w:val="20"/>
        </w:rPr>
        <w:t xml:space="preserve"> for the Quarter Ended June 30, 2026</w:t>
      </w:r>
    </w:p>
    <w:p>
      <w:pPr>
        <w:pStyle w:val="TextBody"/>
        <w:bidi w:val="0"/>
        <w:spacing w:before="0" w:after="0"/>
        <w:ind w:left="0" w:right="0" w:hanging="0"/>
        <w:jc w:val="left"/>
        <w:rPr/>
      </w:pPr>
      <w:r>
        <w:rPr/>
        <w:t> </w:t>
      </w:r>
    </w:p>
    <w:p>
      <w:pPr>
        <w:pStyle w:val="TextBody"/>
        <w:bidi w:val="0"/>
        <w:spacing w:before="0" w:after="0"/>
        <w:ind w:left="40" w:right="40" w:hanging="0"/>
        <w:jc w:val="both"/>
        <w:rPr>
          <w:sz w:val="20"/>
        </w:rPr>
      </w:pPr>
      <w:r>
        <w:rPr>
          <w:sz w:val="20"/>
        </w:rPr>
        <w:t>Pursuant to the Collaboration and License Agreement dated as of December 21, 2017, as amended, between Legend Biotech USA Inc., Legend Biotech Ireland Limited, Janssen Biotech, Inc. and Janssen Pharmaceutica NV (together, “</w:t>
      </w:r>
      <w:r>
        <w:rPr>
          <w:b/>
          <w:sz w:val="20"/>
        </w:rPr>
        <w:t>Janssen</w:t>
      </w:r>
      <w:r>
        <w:rPr>
          <w:sz w:val="20"/>
        </w:rPr>
        <w:t>”), on July 15, 2026, Legend Biotech Corporation (“</w:t>
      </w:r>
      <w:r>
        <w:rPr>
          <w:b/>
          <w:sz w:val="20"/>
        </w:rPr>
        <w:t>Legend Biotech</w:t>
      </w:r>
      <w:r>
        <w:rPr>
          <w:sz w:val="20"/>
        </w:rPr>
        <w:t>”) announced that CARVYKTI</w:t>
      </w:r>
      <w:r>
        <w:rPr>
          <w:position w:val="7"/>
          <w:sz w:val="16"/>
          <w:sz w:val="20"/>
        </w:rPr>
        <w:t>®</w:t>
      </w:r>
      <w:r>
        <w:rPr>
          <w:sz w:val="20"/>
        </w:rPr>
        <w:t xml:space="preserve"> generated approximately $657 million in net trade sales during the quarter ended June 30, 2026. </w:t>
      </w:r>
      <w:r>
        <w:rPr>
          <w:sz w:val="20"/>
          <w:shd w:fill="FFFFFF" w:val="clear"/>
        </w:rPr>
        <w:t xml:space="preserve">The net trade sales figure is based on information provided to Legend Biotech by Janssen, and Legend Biotech has not independently verified the accuracy of such sales figure. </w:t>
      </w:r>
    </w:p>
    <w:p>
      <w:pPr>
        <w:pStyle w:val="TextBody"/>
        <w:bidi w:val="0"/>
        <w:spacing w:before="0" w:after="0"/>
        <w:ind w:left="40" w:right="40" w:hanging="0"/>
        <w:jc w:val="both"/>
        <w:rPr/>
      </w:pPr>
      <w:r>
        <w:rPr/>
        <w:t> </w:t>
      </w:r>
    </w:p>
    <w:p>
      <w:pPr>
        <w:pStyle w:val="TextBody"/>
        <w:bidi w:val="0"/>
        <w:spacing w:before="0" w:after="0"/>
        <w:ind w:left="40" w:right="40" w:hanging="0"/>
        <w:jc w:val="both"/>
        <w:rPr>
          <w:sz w:val="20"/>
        </w:rPr>
      </w:pPr>
      <w:r>
        <w:rPr>
          <w:sz w:val="20"/>
        </w:rPr>
        <w:t>The sales figure is based on information available to Legend Biotech as of the date of this Form 6-K, and the determination of the amount of any revenue or gross profit to be recorded in Legend Biotech’s consolidated statement of operations is subject to completion by management of Legend Biotech of its financial statements as of and for the period ended June 30, 2026. Legend Biotech’s independent registered public accountants have not audited, reviewed or performed any procedures with respect to this data and accordingly they have not expressed an opinion or provided any other form of assurance with respect thereto.</w:t>
      </w:r>
    </w:p>
    <w:p>
      <w:pPr>
        <w:pStyle w:val="TextBody"/>
        <w:bidi w:val="0"/>
        <w:spacing w:before="0" w:after="0"/>
        <w:ind w:left="40" w:right="40" w:hanging="0"/>
        <w:jc w:val="both"/>
        <w:rPr/>
      </w:pPr>
      <w:r>
        <w:rPr/>
        <w:t> </w:t>
      </w:r>
    </w:p>
    <w:p>
      <w:pPr>
        <w:pStyle w:val="TextBody"/>
        <w:bidi w:val="0"/>
        <w:spacing w:before="0" w:after="0"/>
        <w:ind w:left="0" w:right="0" w:hanging="0"/>
        <w:jc w:val="both"/>
        <w:rPr>
          <w:b/>
          <w:sz w:val="20"/>
        </w:rPr>
      </w:pPr>
      <w:r>
        <w:rPr>
          <w:b/>
          <w:sz w:val="20"/>
        </w:rPr>
        <w:t>Cautionary Note Regarding Forward-Looking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Statements in this report on Form 6-K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CARVYKTI</w:t>
      </w:r>
      <w:r>
        <w:rPr>
          <w:position w:val="7"/>
          <w:sz w:val="16"/>
          <w:sz w:val="20"/>
        </w:rPr>
        <w:t>®</w:t>
      </w:r>
      <w:r>
        <w:rPr>
          <w:sz w:val="20"/>
        </w:rPr>
        <w:t>, including Legend Biotech’s expectations for net trade sales and resulting gross profit of CARVYKTI</w:t>
      </w:r>
      <w:r>
        <w:rPr>
          <w:position w:val="7"/>
          <w:sz w:val="16"/>
          <w:sz w:val="20"/>
        </w:rPr>
        <w:t>®</w:t>
      </w:r>
      <w:r>
        <w:rPr>
          <w:sz w:val="20"/>
        </w:rPr>
        <w:t>.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 party partners; uncertainties arising from challenges to Legend Biotech’s patent or other proprietary intellectual property protection, including the uncertainties involved in the U.S. litigation process; competition in general; government, industry, and general public pricing and other political pressures; as well as the other factors discussed in the “Risk Factors” section of the Legend Biotech’s Annual Report on Form 20-F filed with the Securities and Exchange Commission on March 10, 2026. Should one or more of these risks or uncertainties materialize, or should underlying assumptions prove incorrect, actual results may vary materially from those described in this Form 6-K as anticipated, believed, estimated or expected. Any forward-looking statements contained in this Form 6-K speak only as of the date of this Form 6-K. Legend Biotech specifically disclaims any obligation to update any forward-looking statement, whether as a result of new information, future events or otherwise.</w:t>
      </w:r>
    </w:p>
    <w:p>
      <w:pPr>
        <w:pStyle w:val="TextBody"/>
        <w:bidi w:val="0"/>
        <w:spacing w:before="0" w:after="0"/>
        <w:ind w:left="0" w:right="0" w:hanging="0"/>
        <w:jc w:val="both"/>
        <w:rPr/>
      </w:pPr>
      <w:r>
        <w:rPr/>
        <w:t> </w:t>
      </w:r>
    </w:p>
    <w:p>
      <w:pPr>
        <w:pStyle w:val="TextBody"/>
        <w:shd w:fill="FFFFFF" w:val="clear"/>
        <w:bidi w:val="0"/>
        <w:spacing w:before="0" w:after="0"/>
        <w:ind w:left="0" w:right="0" w:hanging="0"/>
        <w:jc w:val="left"/>
        <w:rPr>
          <w:sz w:val="20"/>
        </w:rPr>
      </w:pPr>
      <w:r>
        <w:rPr>
          <w:sz w:val="20"/>
          <w:shd w:fill="FFFFFF" w:val="clear"/>
        </w:rPr>
        <w:t xml:space="preserve">This report on Form 6-K is hereby incorporated herein by reference in the registration statements of Legend Biotech on Form F-3 (Nos. </w:t>
      </w:r>
      <w:r>
        <w:rPr>
          <w:sz w:val="20"/>
        </w:rPr>
        <w:t>333-278050 and 333-257625</w:t>
      </w:r>
      <w:r>
        <w:rPr>
          <w:sz w:val="20"/>
          <w:shd w:fill="FFFFFF" w:val="clear"/>
        </w:rPr>
        <w:t>) and Form S-8 (No. 333-239478 and 333-283217), to the extent not superseded by documents or reports subsequently filed.</w:t>
      </w:r>
    </w:p>
    <w:p>
      <w:pPr>
        <w:pStyle w:val="TextBody"/>
        <w:shd w:fill="FFFFFF" w:val="clear"/>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5049" w:type="dxa"/>
        <w:jc w:val="left"/>
        <w:tblInd w:w="0" w:type="dxa"/>
        <w:tblLayout w:type="fixed"/>
        <w:tblCellMar>
          <w:top w:w="0" w:type="dxa"/>
          <w:left w:w="0" w:type="dxa"/>
          <w:bottom w:w="0" w:type="dxa"/>
          <w:right w:w="0" w:type="dxa"/>
        </w:tblCellMar>
      </w:tblPr>
      <w:tblGrid>
        <w:gridCol w:w="1670"/>
        <w:gridCol w:w="60"/>
        <w:gridCol w:w="723"/>
        <w:gridCol w:w="2596"/>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b/>
                <w:sz w:val="20"/>
              </w:rPr>
            </w:pPr>
            <w:r>
              <w:rPr>
                <w:b/>
                <w:sz w:val="20"/>
              </w:rPr>
              <w:t>LEGEND BIOTECH CORPORATION</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sz w:val="20"/>
              </w:rPr>
            </w:pPr>
            <w:r>
              <w:rPr>
                <w:sz w:val="20"/>
              </w:rPr>
              <w:t>Date:  July 15, 2026</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sz w:val="20"/>
              </w:rPr>
            </w:pPr>
            <w:r>
              <w:rPr>
                <w:sz w:val="20"/>
              </w:rPr>
              <w:t>By:</w:t>
            </w:r>
          </w:p>
        </w:tc>
        <w:tc>
          <w:tcPr>
            <w:tcW w:w="259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Ying Huang</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sz w:val="20"/>
              </w:rPr>
            </w:pPr>
            <w:r>
              <w:rPr>
                <w:sz w:val="20"/>
              </w:rPr>
              <w:t>Name:</w:t>
            </w:r>
          </w:p>
        </w:tc>
        <w:tc>
          <w:tcPr>
            <w:tcW w:w="2596" w:type="dxa"/>
            <w:tcBorders/>
            <w:vAlign w:val="center"/>
          </w:tcPr>
          <w:p>
            <w:pPr>
              <w:pStyle w:val="TableContents"/>
              <w:bidi w:val="0"/>
              <w:spacing w:before="0" w:after="283"/>
              <w:jc w:val="left"/>
              <w:rPr>
                <w:sz w:val="20"/>
              </w:rPr>
            </w:pPr>
            <w:r>
              <w:rPr>
                <w:sz w:val="20"/>
              </w:rPr>
              <w:t>Ying Huang, Ph.D.</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sz w:val="20"/>
              </w:rPr>
            </w:pPr>
            <w:r>
              <w:rPr>
                <w:sz w:val="20"/>
              </w:rPr>
              <w:t>Title:</w:t>
            </w:r>
          </w:p>
        </w:tc>
        <w:tc>
          <w:tcPr>
            <w:tcW w:w="2596"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4256</Characters>
  <CharactersWithSpaces>5044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