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Date of Report: March 4, 2022</w:t>
      </w:r>
    </w:p>
    <w:p>
      <w:pPr>
        <w:spacing w:after="0" w:line="233"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Commission File Number: 001-39307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Legend Biotech Corporation</w:t>
      </w:r>
    </w:p>
    <w:p>
      <w:pPr>
        <w:spacing w:after="0" w:line="33"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2101 Cottontail Lane</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Somerset, New Jersey 08873</w:t>
      </w:r>
    </w:p>
    <w:p>
      <w:pPr>
        <w:jc w:val="center"/>
        <w:ind w:right="-219"/>
        <w:spacing w:after="0"/>
        <w:rPr>
          <w:sz w:val="20"/>
          <w:szCs w:val="20"/>
          <w:color w:val="auto"/>
        </w:rPr>
      </w:pPr>
      <w:r>
        <w:rPr>
          <w:rFonts w:ascii="Arial" w:cs="Arial" w:eastAsia="Arial" w:hAnsi="Arial"/>
          <w:sz w:val="22"/>
          <w:szCs w:val="22"/>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jc w:val="center"/>
        <w:ind w:right="-219"/>
        <w:spacing w:after="0" w:line="253" w:lineRule="exact"/>
        <w:tabs>
          <w:tab w:leader="none" w:pos="62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247" w:lineRule="exact"/>
        <w:rPr>
          <w:sz w:val="24"/>
          <w:szCs w:val="24"/>
          <w:color w:val="auto"/>
        </w:rPr>
      </w:pPr>
    </w:p>
    <w:p>
      <w:pPr>
        <w:jc w:val="cente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281" w:lineRule="exact"/>
        <w:rPr>
          <w:sz w:val="24"/>
          <w:szCs w:val="24"/>
          <w:color w:val="auto"/>
        </w:rPr>
      </w:pPr>
    </w:p>
    <w:p>
      <w:pPr>
        <w:jc w:val="cente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931" w:right="5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Legend Biotech USA Inc. and Janssen Pharmaceuticals, Inc. Enter Into Interim Product Supply Agreement</w:t>
      </w:r>
    </w:p>
    <w:p>
      <w:pPr>
        <w:spacing w:after="0" w:line="239" w:lineRule="exact"/>
        <w:rPr>
          <w:sz w:val="20"/>
          <w:szCs w:val="20"/>
          <w:color w:val="auto"/>
        </w:rPr>
      </w:pPr>
    </w:p>
    <w:p>
      <w:pPr>
        <w:ind w:right="80"/>
        <w:spacing w:after="0" w:line="232" w:lineRule="auto"/>
        <w:rPr>
          <w:sz w:val="20"/>
          <w:szCs w:val="20"/>
          <w:color w:val="auto"/>
        </w:rPr>
      </w:pPr>
      <w:r>
        <w:rPr>
          <w:rFonts w:ascii="Arial" w:cs="Arial" w:eastAsia="Arial" w:hAnsi="Arial"/>
          <w:sz w:val="21"/>
          <w:szCs w:val="21"/>
          <w:color w:val="auto"/>
        </w:rPr>
        <w:t>In connection with the Collaboration and License Agreement dated as of December 21, 2017 between Legend Biotech USA Inc. (“Legend Biotech”) and Janssen Biotech, Inc., Legend Biotech and Janssen Pharmaceuticals, Inc. (“Janssen”) have entered into the Interim Product Supply Agreement dated as of February 28, 2022 (the “IPSA”), pursuant to which Legend Biotech will supply ciltacabtagene autoleucel (cilta-cel) to Janssen for clinical and commercial use worldwide (excluding Greater China). Under the IPSA, Janssen pays Legend Biotech a transfer price for supplied product based on the total costs necessary to produce and supply such product. Ultimately, however, the cost for commercial supply and clinical supply of product are shared equally by Legend Biotech and Janssen as “Allowable Expenses” and “Development Costs,” respectively, under the Collaboration and License Agreement. The IPSA will remain in effect until the earlier of (1) the 45</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day after marketing authorization for cilta-cel is granted by the European Medicines Agency and (2) the date determined by the joint manufacturing committee, or JMC, that has been established under the Collaboration and License Agreement. The IPSA will also terminate if the Collaboration and License Agreement expires or is terminated. We expect to enter into a Product Supply Agreement with Janssen that will replace the IPSA.</w:t>
      </w:r>
    </w:p>
    <w:p>
      <w:pPr>
        <w:spacing w:after="0" w:line="213"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This Form 6-K (other than Exhibit 99.1 hereto) is incorporated by reference into the Company’s Registration Statements on Form F-3 (File Nos. 333-257625 and 333-257609) and Form S-8 (File No. 333-239478).</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Statements in this report on Form 6-K about future expectations, plans and prospects, as well as any other statements regarding matters that are not historical facts, constitute “forward-looking statements” within the meaning of The Private Securities Litigation Reform Act of 1995. These statements include, but are not limited to, statements relating to Legend Biotech’s strategies and objectives and statements relating to CARVYKTI™, including Legend Biotech’s expectations for CARVYKTI™, Legend Biotech’s manufacturing and commercialization expectations for CARVYKTI™ and the potential effect of treatment with CARVYKTI™, submissions for cilta-cel to the European Medicines Agency (EMA) and the Chinese Center for Drug Evaluation of National Medical Products Administration (CDE), and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Legend Biotech’s expectations could be affected by, among other things, uncertainties involved in the development, manufacturing and commercialization of new pharmaceutical products; unexpected clinical trial results, including as a result of additional analysis of existing clinical data or unexpected new clinical data; unexpected regulatory actions or delays, including requests for additional safety and/or efficacy data or analysis of data, or government regulation generally; unexpected delays as a result of actions undertaken, or failures to act, by our third party partners; uncertainties arising from challenges to Legend Biotech’s patent or other proprietary intellectual property protection, including the uncertainties involved in the US litigation process; competition in general; government, industry, and general public pricing and other political pressures; the duration and severity of the COVID-19 pandemic and governmental and regulatory measures implemented in response to the evolving situation; as well as the other factors discussed in the “Risk Factors” section of the Company’s Annual Report on Form 20-F filed with the Securities and Exchange Commission on April 2, 2021. Should one or more of these risks or uncertainties materialize, or should underlying assumptions prove incorrect, actual results may vary materially from those described in this presentation as anticipated, believed, estimated or expected. Legend Biotech specifically disclaims any obligation to update any forward-looking statement,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300" w:val="left"/>
          <w:tab w:leader="none" w:pos="5780" w:val="left"/>
        </w:tabs>
        <w:rPr>
          <w:sz w:val="20"/>
          <w:szCs w:val="20"/>
          <w:color w:val="auto"/>
        </w:rPr>
      </w:pPr>
      <w:r>
        <w:rPr>
          <w:rFonts w:ascii="Arial" w:cs="Arial" w:eastAsia="Arial" w:hAnsi="Arial"/>
          <w:sz w:val="18"/>
          <w:szCs w:val="18"/>
          <w:color w:val="auto"/>
        </w:rPr>
        <w:t>March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23495</wp:posOffset>
            </wp:positionV>
            <wp:extent cx="34544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54400" cy="1714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Ying Huang, Ph.D.</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Executive Officer and Chief Financial Officer</w:t>
      </w:r>
    </w:p>
    <w:sectPr>
      <w:pgSz w:w="11900" w:h="16838" w:orient="portrait"/>
      <w:cols w:equalWidth="0" w:num="1">
        <w:col w:w="11160"/>
      </w:cols>
      <w:pgMar w:left="320" w:top="35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2022-03-07T05:13:47Z</dcterms:created>
  <dcterms:modified xsi:type="dcterms:W3CDTF">2022-03-07T05:13:47Z</dcterms:modified>
</cp:coreProperties>
</file>