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526.htm"/>
      <w:bookmarkStart w:id="1" w:name="ksf6k_091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September 15, 2026</w:t>
      </w:r>
    </w:p>
    <w:p>
      <w:pPr>
        <w:pStyle w:val="TextBody"/>
        <w:bidi w:val="0"/>
        <w:jc w:val="center"/>
        <w:rPr/>
      </w:pPr>
      <w:r>
        <w:rPr/>
        <w:t xml:space="preserve">Commission File Number: </w:t>
      </w:r>
      <w:r>
        <w:rPr>
          <w:rStyle w:val="StrongEmphasis"/>
        </w:rPr>
        <w:t>001-39307</w:t>
      </w:r>
    </w:p>
    <w:p>
      <w:pPr>
        <w:pStyle w:val="TextBody"/>
        <w:bidi w:val="0"/>
        <w:jc w:val="center"/>
        <w:rPr/>
      </w:pPr>
      <w:r>
        <w:rPr>
          <w:rStyle w:val="StrongEmphasis"/>
          <w:sz w:val="24"/>
        </w:rPr>
        <w:t>Legend Biotech Corporation</w:t>
      </w:r>
      <w:r>
        <w:rPr/>
        <w:br/>
        <w:t>(Translation of registrant's name into English)</w:t>
      </w:r>
    </w:p>
    <w:p>
      <w:pPr>
        <w:pStyle w:val="TextBody"/>
        <w:bidi w:val="0"/>
        <w:jc w:val="center"/>
        <w:rPr/>
      </w:pPr>
      <w:r>
        <w:rPr>
          <w:rStyle w:val="StrongEmphasis"/>
        </w:rPr>
        <w:t>77 Corporate Drive</w:t>
        <w:br/>
        <w:t xml:space="preserve">Bridgewater, New Jersey 08807 </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0"/>
        <w:ind w:left="0" w:right="0" w:hanging="0"/>
        <w:jc w:val="left"/>
        <w:rPr/>
      </w:pPr>
      <w:r>
        <w:rPr>
          <w:rStyle w:val="Emphasis"/>
          <w:sz w:val="20"/>
        </w:rPr>
        <w:t>Appointment of Ingrid Zhang as Chief Executive Officer</w:t>
      </w:r>
    </w:p>
    <w:p>
      <w:pPr>
        <w:pStyle w:val="TextBody"/>
        <w:bidi w:val="0"/>
        <w:spacing w:before="0" w:after="0"/>
        <w:ind w:left="0" w:right="0" w:hanging="0"/>
        <w:jc w:val="left"/>
        <w:rPr/>
      </w:pPr>
      <w:r>
        <w:rPr>
          <w:rStyle w:val="StrongEmphasis"/>
        </w:rPr>
        <w:t> </w:t>
      </w:r>
    </w:p>
    <w:p>
      <w:pPr>
        <w:pStyle w:val="TextBody"/>
        <w:bidi w:val="0"/>
        <w:spacing w:before="0" w:after="0"/>
        <w:ind w:left="0" w:right="0" w:hanging="0"/>
        <w:jc w:val="left"/>
        <w:rPr>
          <w:sz w:val="20"/>
        </w:rPr>
      </w:pPr>
      <w:r>
        <w:rPr>
          <w:sz w:val="20"/>
        </w:rPr>
        <w:t>On September 15, 2026, Legend Biotech Corporation (the “Company”) announced the appointment of Ingrid Zhang as the Company’s Chief Executive Officer and principal executive officer, each effective as of September 15, 2026 (the “Effective Date”). Ms. Zhang assumes the role from Alan Bash, who has served as the interim CEO since July 2026. Following Ms. Zhang’s appointment, Mr. Bash will resume his role as President of CARVYKTI of the Company.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Prior to joining the Company, Ms. Zhang most recently served as Chief Commercial Officer for Novartis International from June 2024 to August 2026. Prior to being appointed as Chief Commercial Officer, Ms. Zhang served as President and Managing Director of Novartis China from October 2023 to May 2024, President of China, Innovative Medicines at Novartis, from June 2022 to October 2023, President of Novartis Pharmaceuticals China from 2017 to June 2022, and held several other leadership positions with increasing responsibilities at Novartis since 2011. Prior to joining Novartis, Ms. Zhang spent 6 years at AstraZeneca, from 2005 to 2011, most recently serving as Business Unit Head of Oncology and CNS. Prior to AstraZeneca, Ms. Zhang held management positions at Pfizer and McKinsey &amp; Company. Ms. Zhang has served as a member of the board of directors of Mettler-Toledo International Inc. since February 2023. Ms. Zhang earned her MBA in Finance and Strategy from the Wharton School of Business at the University of Pennsylvania, her MS in Chemical Engineering from Penn State University, and her BA in Chemistry at Lycoming College.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arrangement or understanding between Ms. Zhang and any other person pursuant to which she was selected as an officer of the Company. There are no related party transactions between Ms. Zhang and the Company that would require disclosure, and there is no family relationship between Ms. Zhang and any of the Company’s directors or other executive officers.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press release announcing the appointment of Ms. Zhang as CEO is attached to this Form 6-K as 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sz w:val="20"/>
        </w:rPr>
        <w:t>Employment Agreement with Chief Executive Officer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connection with Ms. Zhang’s appointment as CEO, she entered into an employment agreement (the “Employment Agreement”) with the Company setting forth the terms of her employment, effective as of September 15,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Employment Agreement, Ms. Zhang’s annual base salary is $950,000, and Ms. Zhang is eligible for a discretionary annual cash bonus with a target of 90% (the “CEO Annual Bonus”) of her then-current base salary (the “CEO Target Amount”). In addition, on the Effective Date, Ms. Zhang will be granted an award of restricted share units with a grant date fair market value target anticipated to be at least $10 million (the “Initial RSU Award”) and will receive a signing bonus of $150,000, provided that if Ms. Zhang is terminated for Cause (as defined in the Employment Agreement) or leaves the Company without Good Reason (as defined in the Employment Agreement) within 12 months of the Effective Date, she will be required to return the signing bonus in full, and provided further that if Ms. Zhang is terminated for Cause or leaves the Company without Good Reason within 12 to 24 months of the Effective Date, she will be required to return 50% of the signing bonus.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commencing in fiscal year 2027, Ms. Zhang may be eligible to receive an annual equity grant of restricted stock units (“Annual RSUs”) with a grant date fair market value target anticipated to be at least $10 million, with the actual target amount to be determined by the compensation committee (the “Compensation Committee”) of the Board in good faith. Ms. Zhang’s eligibility for the CEO Annual Bonus of up to 90% of her base salary and the Annual RSUs will be based upon her performance, business conditions at the Company, and the terms of any applicable bonus plan and/or Restricted Share Plan and, to the extent required by the Compensation Committee or the Board, the achievement of performance targets as established by the Board or the Compensation Committee.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terms of the Employment Agreement, Ms. Zhang’s employment is at will and may be terminated at any time by the Company. If Ms. Zhang’s employment is terminated without Cause or by Ms. Zhang for Good Reason in either case not in connection with a Change in Control (as defined in the Employment Agreement), then Ms. Zhang would be eligible to receive the following severance benefits, less applicable taxes withholdings (the “CEO Non-CIC Severance Benefits”):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payment of Ms. Zhang’s then-current base salary in accordance with normal payroll procedures for 12 months;</w:t>
            </w:r>
          </w:p>
        </w:tc>
      </w:tr>
    </w:tbl>
    <w:p>
      <w:pPr>
        <w:pStyle w:val="TextBody"/>
        <w:bidi w:val="0"/>
        <w:spacing w:before="0" w:after="0"/>
        <w:ind w:left="108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payment of Ms. Zhang’s annual bonus earned for the year prior to the year in which her termination occurs if unpaid as of the date of termination), calculated based on the attainment of applicable corporate performance metrics and, with respect to individual metrics, the average of Ms. Zhang’s individual performance ratings over the two years prior to such performance year (the “CEO Prior Year Bonus”);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a pro-rated portion of Ms. Zhang’s Target Amount for the year in which the date of termination occurs, without regard to whether service or performance metrics or ratings have been established or achieved (whether corporate or individual) (the “CEO Pro-Rated Bonus”);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payment or reimbursement of continued health coverage for Ms. Zhang and her dependents under COBRA for up to 12 months;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the Initial RSU Award shall be accelerated, such that such then-unvested equity awards immediately vest and become fully exercisable or non-forfeitable without regard to any performance-based requirements; provided that if the Initial RSU Award has not yet been granted as of the date of termination, payment of a one-time cash amount of $10 million;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with respect to any other equity awards granted to Ms. Zhang, that portion of any equity awards held by Ms. Zhang that would have vested during the 12-month period following Ms. Zhang’s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Under the Employment Agreement, if Ms. Zhang’s employment is terminated by the Company without Cause or if Ms. Zhang resigns for Good Reason, in either case within 3 months before or 18 months following the effective date of a Change in Control, then Ms. Zhang would be entitled to the following severance benefits, less applicable tax withholding (the “CEO CIC Severance Benefits,” together with the CEO Non-CIC Severance Benefits, the “CEO Severance Benefits”):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8"/>
        <w:gridCol w:w="115"/>
        <w:gridCol w:w="10012"/>
      </w:tblGrid>
      <w:tr>
        <w:trPr/>
        <w:tc>
          <w:tcPr>
            <w:tcW w:w="7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payment of her then-current base salary in accordance with normal payroll procedures for 24 months;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8"/>
        <w:gridCol w:w="175"/>
        <w:gridCol w:w="9912"/>
      </w:tblGrid>
      <w:tr>
        <w:trPr/>
        <w:tc>
          <w:tcPr>
            <w:tcW w:w="118"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left"/>
              <w:rPr/>
            </w:pPr>
            <w:r>
              <w:rPr/>
              <w:t>the CEO Prior Year Bonus if unpaid as of the date of termination;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71"/>
        <w:gridCol w:w="399"/>
        <w:gridCol w:w="9535"/>
      </w:tblGrid>
      <w:tr>
        <w:trPr/>
        <w:tc>
          <w:tcPr>
            <w:tcW w:w="271"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w:t>
            </w:r>
          </w:p>
        </w:tc>
        <w:tc>
          <w:tcPr>
            <w:tcW w:w="9535" w:type="dxa"/>
            <w:tcBorders/>
            <w:vAlign w:val="center"/>
          </w:tcPr>
          <w:p>
            <w:pPr>
              <w:pStyle w:val="TableContents"/>
              <w:bidi w:val="0"/>
              <w:spacing w:before="0" w:after="283"/>
              <w:jc w:val="left"/>
              <w:rPr/>
            </w:pPr>
            <w:r>
              <w:rPr/>
              <w:t>the CEO Pro-Rated Bonus;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9"/>
        <w:gridCol w:w="117"/>
        <w:gridCol w:w="10009"/>
      </w:tblGrid>
      <w:tr>
        <w:trPr/>
        <w:tc>
          <w:tcPr>
            <w:tcW w:w="79"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left"/>
              <w:rPr/>
            </w:pPr>
            <w:r>
              <w:rPr/>
              <w:t>payment of two times the CEO Target Amount for the year in which the date of termination occurs;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payment or reimbursement of continued health coverage for Ms. Zhang and her dependents under COBRA for up to 18 months;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all equity awards held by Ms. Zhang shall be accelerated, such that any then-unvested equity awards immediately vest and become fully exercisable or non-forfeitable as of the date of termination without regard to any performance-based requirements;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left"/>
              <w:rPr/>
            </w:pPr>
            <w:r>
              <w:rPr/>
              <w:t>if any options granted to Ms. Zhang are assumed or converted, the post-termination exercise period attributable to any stock option shall be extended to 18 months from the date of termination.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Payment of the CEO Severance Benefits is subject to Ms. Zhang signing and delivering to the Company a separation agreement containing a general release of claims in favor of the Company. Under the Employment Agreement, if Ms. Zhang’s employment is terminated for Cause or Ms. Zhang resigns without Good Reason, Ms. Zhang will not receive any CEO Severance Benefits.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foregoing description of the Employment Agreement does not purport to be complete and is qualified by reference to the full text of each Employment Agreement, a copy of which will be filed as an exhibit to the Company’s Annual Report on Form 20-F for the year ending December 31, 2026. This report on Form 6-K, including Exhibit 99.1, is hereby incorporated herein by reference in the registration statements of the Company on Form F-3 (Nos. 333-278050 and 333-257625) and Form S-8 (No. 333-239478 and 333-283217), to the extent not superseded by documents or reports subsequently filed.</w:t>
      </w:r>
    </w:p>
    <w:p>
      <w:pPr>
        <w:pStyle w:val="TextBody"/>
        <w:bidi w:val="0"/>
        <w:spacing w:before="0" w:after="283"/>
        <w:jc w:val="left"/>
        <w:rPr/>
      </w:pPr>
      <w:r>
        <w:rPr/>
        <w:t> </w:t>
      </w:r>
    </w:p>
    <w:p>
      <w:pPr>
        <w:pStyle w:val="TextBody"/>
        <w:bidi w:val="0"/>
        <w:jc w:val="center"/>
        <w:rPr>
          <w:b/>
          <w:sz w:val="20"/>
          <w:u w:val="single"/>
        </w:rPr>
      </w:pPr>
      <w:r>
        <w:rPr>
          <w:b/>
          <w:sz w:val="20"/>
          <w:u w:val="single"/>
        </w:rPr>
        <w:t>EXHIBIT INDEX</w:t>
      </w:r>
    </w:p>
    <w:tbl>
      <w:tblPr>
        <w:tblW w:w="4300" w:type="dxa"/>
        <w:jc w:val="left"/>
        <w:tblInd w:w="0" w:type="dxa"/>
        <w:tblLayout w:type="fixed"/>
        <w:tblCellMar>
          <w:top w:w="0" w:type="dxa"/>
          <w:left w:w="0" w:type="dxa"/>
          <w:bottom w:w="0" w:type="dxa"/>
          <w:right w:w="0" w:type="dxa"/>
        </w:tblCellMar>
      </w:tblPr>
      <w:tblGrid>
        <w:gridCol w:w="650"/>
        <w:gridCol w:w="300"/>
        <w:gridCol w:w="3350"/>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350" w:type="dxa"/>
            <w:tcBorders/>
            <w:vAlign w:val="bottom"/>
          </w:tcPr>
          <w:p>
            <w:pPr>
              <w:pStyle w:val="TableContents"/>
              <w:bidi w:val="0"/>
              <w:spacing w:before="0" w:after="283"/>
              <w:jc w:val="left"/>
              <w:rPr/>
            </w:pPr>
            <w:r>
              <w:rPr>
                <w:rStyle w:val="StrongEmphasis"/>
                <w:sz w:val="20"/>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hyperlink w:anchor="exh_991.htm">
              <w:r>
                <w:rPr>
                  <w:rStyle w:val="InternetLink"/>
                  <w:sz w:val="20"/>
                </w:rPr>
                <w:t>Press Release, dated September 15,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Legend Biotech Corporation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Carlos Santos Garcia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Carlos Santos Garcia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Legend Biotech Appoints Ingrid Zhang as Chief Executive Officer</w:t>
      </w:r>
    </w:p>
    <w:p>
      <w:pPr>
        <w:pStyle w:val="TextBody"/>
        <w:bidi w:val="0"/>
        <w:jc w:val="center"/>
        <w:rPr/>
      </w:pPr>
      <w:r>
        <w:rPr>
          <w:rStyle w:val="StrongEmphasis"/>
        </w:rPr>
        <w:t>Ingrid Zhang, an accomplished global biopharmaceutical leader, joins Legend Biotech following a comprehensive Board-led search process</w:t>
      </w:r>
    </w:p>
    <w:p>
      <w:pPr>
        <w:pStyle w:val="TextBody"/>
        <w:bidi w:val="0"/>
        <w:jc w:val="both"/>
        <w:rPr/>
      </w:pPr>
      <w:r>
        <w:rPr/>
        <w:t>BRIDGEWATER, N.J., Sept. 15, 2026 (GLOBE NEWSWIRE) -- Legend Biotech Corporation (NASDAQ: LEGN) ("Legend Biotech" or the "Company"), a global leader in cell therapy, today announced that its Board of Directors has appointed Ingrid Zhang as Chief Executive Officer, effective September 15, 2026. Ingrid Zhang succeeds Alan Bash, who has served as Interim Chief Executive Officer since July 2026 and will resume his role as President, CARVYKTI.</w:t>
      </w:r>
    </w:p>
    <w:p>
      <w:pPr>
        <w:pStyle w:val="TextBody"/>
        <w:bidi w:val="0"/>
        <w:jc w:val="both"/>
        <w:rPr/>
      </w:pPr>
      <w:r>
        <w:rPr/>
        <w:t>Ingrid Zhang is an accomplished global biopharmaceutical executive with deep experience leading commercial organizations, driving business growth, and advancing innovative medicines. Most recently, she served as Chief Commercial Officer for Novartis International. During her tenure at Novartis, she also led the company's China business and innovative medicines organization. Earlier in her career, she held leadership positions at AstraZeneca, Pfizer, and McKinsey &amp; Company, bringing a combination of global commercial expertise, operational leadership, and strategic insight to Legend Biotech.</w:t>
      </w:r>
    </w:p>
    <w:p>
      <w:pPr>
        <w:pStyle w:val="TextBody"/>
        <w:bidi w:val="0"/>
        <w:spacing w:before="0" w:after="283"/>
        <w:jc w:val="left"/>
        <w:rPr/>
      </w:pPr>
      <w:r>
        <w:rPr/>
        <w:t>"It is a privilege to join Legend Biotech at an important moment in the Company's growth," said Ingrid Zhang, Chief Executive Officer of Legend Biotech. "Legend Biotech has established itself as a global leader in cell therapy through its commitment to scientific innovation, operational excellence, and transforming outcomes for patients. I look forward to working with the talented team at Legend to build on this strong foundation, advance our pipeline, expand our impact, and execute on our long-term growth strategy."</w:t>
      </w:r>
    </w:p>
    <w:p>
      <w:pPr>
        <w:pStyle w:val="TextBody"/>
        <w:bidi w:val="0"/>
        <w:spacing w:before="0" w:after="283"/>
        <w:jc w:val="left"/>
        <w:rPr/>
      </w:pPr>
      <w:r>
        <w:rPr/>
        <w:t>"Following a comprehensive search process, the Board concluded that Ingrid is the right leader to guide Legend Biotech through its next phase of growth," said Frank Zhang, EMBA, Ph.D., Chairman of the Board of Legend Biotech. "As a highly respected industry executive, Ingrid brings strategic vision, operational discipline, and experience leading complex global businesses. The Board is confident she is well-positioned to advance our mission of transforming patient care through cell therapy. We thank Alan Bash for his strong leadership as Interim CEO and are delighted to welcome Ingrid to Legend Biotech."</w:t>
      </w:r>
    </w:p>
    <w:p>
      <w:pPr>
        <w:pStyle w:val="TextBody"/>
        <w:bidi w:val="0"/>
        <w:spacing w:before="0" w:after="283"/>
        <w:jc w:val="left"/>
        <w:rPr/>
      </w:pPr>
      <w:r>
        <w:rPr/>
        <w:t>"Throughout this transition, our team has continued to execute against our strategic priorities with focus across the business," said Alan Bash, President, CARVYKTI. "The commitment and expertise of colleagues around the world have positioned Legend Biotech for its next chapter. The leadership team and I look forward to partnering closely with Ingrid as we continue executing our strategy and delivering meaningful impact for patients."</w:t>
      </w:r>
    </w:p>
    <w:p>
      <w:pPr>
        <w:pStyle w:val="TextBody"/>
        <w:bidi w:val="0"/>
        <w:jc w:val="both"/>
        <w:rPr/>
      </w:pPr>
      <w:r>
        <w:rPr>
          <w:rStyle w:val="StrongEmphasis"/>
        </w:rPr>
        <w:t>ABOUT LEGEND BIOTECH</w:t>
      </w:r>
      <w:r>
        <w:rPr/>
        <w:br/>
        <w:t>With over 3,000 employees, Legend Biotech is the largest standalone cell therapy company and a pioneer in treatments that change cancer care forever. Legend Biotech is at the forefront of the CAR-T cell therapy revolution with CARVYKTI</w:t>
      </w:r>
      <w:r>
        <w:rPr>
          <w:position w:val="8"/>
          <w:sz w:val="19"/>
        </w:rPr>
        <w:t>®</w:t>
      </w:r>
      <w:r>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pStyle w:val="TextBody"/>
        <w:bidi w:val="0"/>
        <w:jc w:val="both"/>
        <w:rPr/>
      </w:pPr>
      <w:r>
        <w:rPr/>
        <w:t>Learn more at </w:t>
      </w:r>
      <w:r>
        <w:rPr>
          <w:u w:val="single"/>
        </w:rPr>
        <w:t>https://legendbiotech.com</w:t>
      </w:r>
      <w:r>
        <w:rPr/>
        <w:t> and follow us on </w:t>
      </w:r>
      <w:r>
        <w:rPr>
          <w:u w:val="single"/>
        </w:rPr>
        <w:t>X</w:t>
      </w:r>
      <w:r>
        <w:rPr/>
        <w:t> and </w:t>
      </w:r>
      <w:r>
        <w:rPr>
          <w:u w:val="single"/>
        </w:rPr>
        <w:t>LinkedIn</w:t>
      </w:r>
      <w:r>
        <w:rPr/>
        <w:t>.</w:t>
      </w:r>
    </w:p>
    <w:p>
      <w:pPr>
        <w:pStyle w:val="TextBody"/>
        <w:bidi w:val="0"/>
        <w:jc w:val="both"/>
        <w:rPr/>
      </w:pPr>
      <w:r>
        <w:rPr>
          <w:rStyle w:val="StrongEmphasis"/>
        </w:rPr>
        <w:t xml:space="preserve">CAUTIONARY NOTE REGARDING FORWARD-LOOKING STATEMENTS </w:t>
      </w:r>
      <w:r>
        <w:rPr/>
        <w:br/>
        <w:br/>
      </w:r>
      <w:r>
        <w:rPr>
          <w:rStyle w:val="Emphasis"/>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plans to advance its pipeline, expand its impact, and execute on its long-term growth strategy; Legend Biotech’s plans to continue advancing CARVYKTI and to deliver meaningful impact for patients and sustained growth; Legend Biotech’s expectations regarding the leadership transition and the anticipated contributions of its new Chief Executive Officer; and Legend Biotech’s plans to drive future innovation across its pipeline.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pStyle w:val="TextBody"/>
        <w:bidi w:val="0"/>
        <w:spacing w:before="0" w:after="283"/>
        <w:jc w:val="left"/>
        <w:rPr/>
      </w:pPr>
      <w:r>
        <w:rPr>
          <w:rStyle w:val="StrongEmphasis"/>
        </w:rPr>
        <w:t>INVESTOR CONTACT:</w:t>
      </w:r>
      <w:r>
        <w:rPr/>
        <w:br/>
        <w:t>Caroline Paul</w:t>
        <w:br/>
        <w:t>Tel: 973-650-5832</w:t>
        <w:br/>
      </w:r>
      <w:r>
        <w:rPr>
          <w:u w:val="single"/>
        </w:rPr>
        <w:t>investor@legendbiotech.com</w:t>
      </w:r>
    </w:p>
    <w:p>
      <w:pPr>
        <w:pStyle w:val="TextBody"/>
        <w:bidi w:val="0"/>
        <w:spacing w:before="0" w:after="283"/>
        <w:jc w:val="left"/>
        <w:rPr/>
      </w:pPr>
      <w:r>
        <w:rPr>
          <w:rStyle w:val="StrongEmphasis"/>
        </w:rPr>
        <w:t>PRESS CONTACT:</w:t>
      </w:r>
      <w:r>
        <w:rPr/>
        <w:br/>
        <w:t>Kim Fox</w:t>
        <w:br/>
        <w:t>Tel: (848) 388-8445</w:t>
        <w:br/>
      </w:r>
      <w:r>
        <w:rPr>
          <w:u w:val="single"/>
        </w:rPr>
        <w:t>media@legendbiotech.com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2472</Words>
  <Characters>13740</Characters>
  <CharactersWithSpaces>16229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