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Date of Report: October 22, 2024</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5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Somerset, New Jersey 08873</w:t>
      </w:r>
    </w:p>
    <w:p>
      <w:pPr>
        <w:spacing w:after="0" w:line="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40"/>
        <w:spacing w:after="0" w:line="207" w:lineRule="exact"/>
        <w:tabs>
          <w:tab w:leader="none" w:pos="4940" w:val="left"/>
          <w:tab w:leader="none" w:pos="5120" w:val="left"/>
          <w:tab w:leader="none" w:pos="5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on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on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22, 2024, due to the loss of power to cast the majority of votes at the 2024 Annual General Meeting of Shareholders of Legend Biotech Corporation (the “Company”), Genscript Biotech Corporation announced that they have resolved to deconsolidate the financial statements of the Company and its subsidiaries, in accordance with the requirements of the Hong Kong Financial Reporting Standards.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the registration statements of the Company on Form F-3 (Nos. 333-257625, 333-272222 and 333-278050) and Form S-8 (No. 333-239478), to the extent not superseded by documents or reports subsequently filed.</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270"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October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Ying Huang, Ph.D.</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2024-10-22T07:06:14Z</dcterms:created>
  <dcterms:modified xsi:type="dcterms:W3CDTF">2024-10-22T07:06:14Z</dcterms:modified>
</cp:coreProperties>
</file>