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190500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 of Report: August 27,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001-39307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191135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Legend Biotech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167640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2101 Cottontail Lane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Somerset, New Jersey 08873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168910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343535</wp:posOffset>
            </wp:positionV>
            <wp:extent cx="7132320" cy="431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84" w:right="1440" w:bottom="1440" w:gutter="0" w:footer="0" w:header="0"/>
        </w:sectPr>
      </w:pPr>
    </w:p>
    <w:bookmarkStart w:id="1" w:name="page2"/>
    <w:bookmarkEnd w:id="1"/>
    <w:p>
      <w:pPr>
        <w:ind w:right="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NMPA Approves Ciltacabtagene autoleucel (cilta-cel) for the Treatment of Adult Patients with Relapsed or Refractory Multiple Myeloma in China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August 27, 2024, China’s National Medical Products Administration (NMPA) announced the approval of Legend Biotech Corporation’s (Legend Biotech) New Drug Application (NDA) for ciltacabtagene autoleucel (cilta-cel), for the treatment of adult patients with relapsed or refractory multiple myeloma who have disease progression after receiving at least three prior lines of therapy, including a proteasome inhibitor and immunomodulatory agent. The approval of cilta-cel by the NMPA is based on data from Legend Biotech’s ongoing confirmatory Phase 2 clinical study CARTIFAN-1 (NCT03758417) being conducted in China.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report on Form 6-K is hereby incorporated herein by reference in the registration statements of Legend Biotech on Form F-3 (Nos. 333-278050, 333-257625, and 333-272222) and Form S-8 (No. 333-239478), to the extent not superseded by documents or reports subsequently filed.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568325</wp:posOffset>
            </wp:positionV>
            <wp:extent cx="7132320" cy="431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40"/>
          </w:cols>
          <w:pgMar w:left="320" w:top="468" w:right="4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20" w:firstLine="44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LEGEND BIOTECH CORPORATION</w:t>
            </w:r>
          </w:p>
        </w:tc>
      </w:tr>
      <w:tr>
        <w:trPr>
          <w:trHeight w:val="432"/>
        </w:trPr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August 27, 2024</w:t>
            </w:r>
          </w:p>
        </w:tc>
        <w:tc>
          <w:tcPr>
            <w:tcW w:w="256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Ying Huang</w:t>
            </w:r>
          </w:p>
        </w:tc>
      </w:tr>
      <w:tr>
        <w:trPr>
          <w:trHeight w:val="19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20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Ying Huang, Ph.D.</w:t>
            </w:r>
          </w:p>
        </w:tc>
      </w:tr>
      <w:tr>
        <w:trPr>
          <w:trHeight w:val="23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  <w:tr>
        <w:trPr>
          <w:trHeight w:val="1296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8"/>
        </w:trPr>
        <w:tc>
          <w:tcPr>
            <w:tcW w:w="36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46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2024-08-27T06:32:13Z</dcterms:created>
  <dcterms:modified xsi:type="dcterms:W3CDTF">2024-08-27T06:32:13Z</dcterms:modified>
</cp:coreProperties>
</file>