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Date of Report: November 5,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001-39307</w:t>
      </w:r>
    </w:p>
    <w:p>
      <w:pPr>
        <w:spacing w:after="0" w:line="20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Legend Biotech to Unveil Minimal Residual Disease Data from Landmark CARTITUDE-4 Trial in Multiple Myeloma</w:t>
      </w:r>
    </w:p>
    <w:p>
      <w:pPr>
        <w:spacing w:after="0" w:line="2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On November 5, 2024, Legend Biotech Corporation (“Legend Biotech”) issued a press release announcing that new data will be presented on minimal residual disease (MRD) negativity rates from the Phase 3 CARTITUDE-4 trial in multiple myeloma patients treated with CARVYKTI® (ciltacabtagene autoleucel; cilta-cel) versus standard of care (SoC). The study evaluated lenalidomide-refractory patients who have received one to three prior lines of therapy and will be featured in an oral presentation on Monday, December 9, 2024, at 5:45 p.m. PT at the 66th Annual American Society of Hematology (ASH) Annual Meeting in San Diego. The press release is attached to this Form 6-K as Exhibit 99.1.</w:t>
      </w:r>
    </w:p>
    <w:p>
      <w:pPr>
        <w:spacing w:after="0" w:line="18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1"/>
          <w:szCs w:val="21"/>
          <w:color w:val="auto"/>
        </w:rPr>
        <w:t>This report on Form 6-K, including Exhibit 99.1 (other than the information included under “About Legend Biotech”), is hereby incorporated herein by reference in the registration statements of Legend Biotech on Form F-3 (Nos. 333-278050, 333-257625, and 333-272222) and Form S-8 (No. 333-239478), to the extent not superseded by documents or reports subsequently filed.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Legend Biotech Corporation</w:t>
            </w:r>
          </w:p>
        </w:tc>
      </w:tr>
      <w:tr>
        <w:trPr>
          <w:trHeight w:val="237"/>
        </w:trPr>
        <w:tc>
          <w:tcPr>
            <w:tcW w:w="7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5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Huang</w:t>
            </w:r>
          </w:p>
        </w:tc>
        <w:tc>
          <w:tcPr>
            <w:tcW w:w="560" w:type="dxa"/>
            <w:vAlign w:val="bottom"/>
          </w:tcPr>
          <w:p>
            <w:pPr>
              <w:spacing w:after="0"/>
              <w:rPr>
                <w:sz w:val="24"/>
                <w:szCs w:val="24"/>
                <w:color w:val="auto"/>
              </w:rPr>
            </w:pPr>
          </w:p>
        </w:tc>
      </w:tr>
      <w:tr>
        <w:trPr>
          <w:trHeight w:val="218"/>
        </w:trPr>
        <w:tc>
          <w:tcPr>
            <w:tcW w:w="7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Ying Huang, Ph.D.</w:t>
            </w:r>
          </w:p>
        </w:tc>
      </w:tr>
      <w:tr>
        <w:trPr>
          <w:trHeight w:val="234"/>
        </w:trPr>
        <w:tc>
          <w:tcPr>
            <w:tcW w:w="7320" w:type="dxa"/>
            <w:vAlign w:val="bottom"/>
          </w:tcPr>
          <w:p>
            <w:pPr>
              <w:spacing w:after="0"/>
              <w:rPr>
                <w:sz w:val="20"/>
                <w:szCs w:val="20"/>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Legend Biotech to Unveil Minimal Residual Disease Data from Landmark CARTITUDE-4 Trial in Multiple Myeloma</w:t>
      </w:r>
    </w:p>
    <w:p>
      <w:pPr>
        <w:spacing w:after="0" w:line="120" w:lineRule="exact"/>
        <w:rPr>
          <w:sz w:val="20"/>
          <w:szCs w:val="20"/>
          <w:color w:val="auto"/>
        </w:rPr>
      </w:pPr>
    </w:p>
    <w:p>
      <w:pPr>
        <w:jc w:val="center"/>
        <w:ind w:left="340" w:right="120"/>
        <w:spacing w:after="0" w:line="262" w:lineRule="auto"/>
        <w:rPr>
          <w:sz w:val="20"/>
          <w:szCs w:val="20"/>
          <w:color w:val="auto"/>
        </w:rPr>
      </w:pPr>
      <w:r>
        <w:rPr>
          <w:rFonts w:ascii="Times New Roman" w:cs="Times New Roman" w:eastAsia="Times New Roman" w:hAnsi="Times New Roman"/>
          <w:sz w:val="22"/>
          <w:szCs w:val="22"/>
          <w:i w:val="1"/>
          <w:iCs w:val="1"/>
          <w:color w:val="auto"/>
        </w:rPr>
        <w:t>New data will showcase significantly increased and sustained minimal residual disease (MRD) negativity rates, reinforcing the potential of CARVYKTI to transform outcomes in refractory multiple myeloma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MRD data to be featured in oral presentation at the 66th Annual American Society of Hematology (ASH) Annual Meeting</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SOMERSET, N.J., Nov. 05, 2024 (GLOBE NEWSWIRE) -- Legend Biotech Corporation (NASDAQ: LEGN) (Legend Biotech), a global leader in cell therapy, will present new data on minimal residual disease (MRD) negativity rates from the Phase 3</w:t>
      </w:r>
    </w:p>
    <w:p>
      <w:pPr>
        <w:spacing w:after="0" w:line="2" w:lineRule="exact"/>
        <w:rPr>
          <w:sz w:val="20"/>
          <w:szCs w:val="20"/>
          <w:color w:val="auto"/>
        </w:rPr>
      </w:pPr>
    </w:p>
    <w:p>
      <w:pPr>
        <w:ind w:right="680"/>
        <w:spacing w:after="0" w:line="204" w:lineRule="auto"/>
        <w:rPr>
          <w:sz w:val="20"/>
          <w:szCs w:val="20"/>
          <w:color w:val="auto"/>
        </w:rPr>
      </w:pPr>
      <w:r>
        <w:rPr>
          <w:rFonts w:ascii="Times New Roman" w:cs="Times New Roman" w:eastAsia="Times New Roman" w:hAnsi="Times New Roman"/>
          <w:sz w:val="21"/>
          <w:szCs w:val="21"/>
          <w:color w:val="auto"/>
        </w:rPr>
        <w:t>CARTITUDE-4 trial in multiple myeloma patients treated with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(ciltacabtagene autoleucel; cilta-cel) versus standard of care (SoC). The study evaluated lenalidomide-refractory patients who have received one to three prior lines of</w:t>
      </w:r>
    </w:p>
    <w:p>
      <w:pPr>
        <w:spacing w:after="0" w:line="2" w:lineRule="exact"/>
        <w:rPr>
          <w:sz w:val="20"/>
          <w:szCs w:val="20"/>
          <w:color w:val="auto"/>
        </w:rPr>
      </w:pPr>
    </w:p>
    <w:p>
      <w:pPr>
        <w:ind w:right="140"/>
        <w:spacing w:after="0" w:line="201" w:lineRule="auto"/>
        <w:rPr>
          <w:sz w:val="20"/>
          <w:szCs w:val="20"/>
          <w:color w:val="auto"/>
        </w:rPr>
      </w:pPr>
      <w:r>
        <w:rPr>
          <w:rFonts w:ascii="Times New Roman" w:cs="Times New Roman" w:eastAsia="Times New Roman" w:hAnsi="Times New Roman"/>
          <w:sz w:val="22"/>
          <w:szCs w:val="22"/>
          <w:color w:val="auto"/>
        </w:rPr>
        <w:t>therapy and will be featured in an oral presentation on Monday, December 9, 2024, at 5:45 p.m. PT at the 66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Annual American Society of Hematology (ASH) Annual Meeting in San Diego.</w:t>
      </w:r>
    </w:p>
    <w:p>
      <w:pPr>
        <w:spacing w:after="0" w:line="178"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21"/>
          <w:szCs w:val="21"/>
          <w:color w:val="auto"/>
        </w:rPr>
        <w:t>“This year’s ASH data continues to highlight our advances across key clinical areas aimed at helping healthcare professionals decide the optimal treatment regimens for their patients with multiple myeloma,” said Ying Huang, Ph. D., Chief Executive Officer of Legend Biotech. “MRD negativity is a prognostic marker of prolonged survival outcomes for patients with multiple myeloma. The significantly increased overall and sustained MRD negativity rates reinforce CARVYKTI as a transformative therapeutic option versus the standard of care for multiple myeloma patients as early as the second line.”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Data from CARTITUDE-4 supported the U.S. Food and Drug Administration (FDA) and European Commission (EC) approval</w:t>
      </w:r>
    </w:p>
    <w:p>
      <w:pPr>
        <w:spacing w:after="0" w:line="19" w:lineRule="exact"/>
        <w:rPr>
          <w:sz w:val="20"/>
          <w:szCs w:val="20"/>
          <w:color w:val="auto"/>
        </w:rPr>
      </w:pPr>
    </w:p>
    <w:p>
      <w:pPr>
        <w:ind w:right="60"/>
        <w:spacing w:after="0" w:line="204" w:lineRule="auto"/>
        <w:rPr>
          <w:sz w:val="20"/>
          <w:szCs w:val="20"/>
          <w:color w:val="auto"/>
        </w:rPr>
      </w:pPr>
      <w:r>
        <w:rPr>
          <w:rFonts w:ascii="Times New Roman" w:cs="Times New Roman" w:eastAsia="Times New Roman" w:hAnsi="Times New Roman"/>
          <w:sz w:val="21"/>
          <w:szCs w:val="21"/>
          <w:color w:val="auto"/>
        </w:rPr>
        <w:t>of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earlier this year for the treatment of adult patients with relapsed or refractory multiple myeloma who have received at least one prior line of therapy (LOT), including a proteasome inhibitor (PI), and an immunomodulatory agent (IMiD),</w:t>
      </w:r>
    </w:p>
    <w:p>
      <w:pPr>
        <w:spacing w:after="0" w:line="2" w:lineRule="exact"/>
        <w:rPr>
          <w:sz w:val="20"/>
          <w:szCs w:val="20"/>
          <w:color w:val="auto"/>
        </w:rPr>
      </w:pPr>
    </w:p>
    <w:p>
      <w:pPr>
        <w:ind w:right="440"/>
        <w:spacing w:after="0" w:line="209" w:lineRule="auto"/>
        <w:rPr>
          <w:sz w:val="20"/>
          <w:szCs w:val="20"/>
          <w:color w:val="auto"/>
        </w:rPr>
      </w:pPr>
      <w:r>
        <w:rPr>
          <w:rFonts w:ascii="Times New Roman" w:cs="Times New Roman" w:eastAsia="Times New Roman" w:hAnsi="Times New Roman"/>
          <w:sz w:val="22"/>
          <w:szCs w:val="22"/>
          <w:color w:val="auto"/>
        </w:rPr>
        <w:t>and are refractory to lenalidomide.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the first and only BCMA-targeted CAR-T cell therapy approved for the treatment of patients with multiple myeloma who have had at least one prior line of therapy. Globally, CARVYKTI is now commercially available in five countries and has been utilized by over 4,000 patients.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ASH Presentations (December 7-10, 2024)</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Abstract Title</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Authors</w:t>
            </w:r>
          </w:p>
        </w:tc>
        <w:tc>
          <w:tcPr>
            <w:tcW w:w="37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Session Details</w:t>
            </w:r>
          </w:p>
        </w:tc>
      </w:tr>
      <w:tr>
        <w:trPr>
          <w:trHeight w:val="219"/>
        </w:trPr>
        <w:tc>
          <w:tcPr>
            <w:tcW w:w="3740" w:type="dxa"/>
            <w:vAlign w:val="bottom"/>
            <w:tcBorders>
              <w:left w:val="single" w:sz="8" w:color="auto"/>
              <w:right w:val="single" w:sz="8" w:color="auto"/>
            </w:tcBorders>
          </w:tcPr>
          <w:p>
            <w:pPr>
              <w:ind w:left="40"/>
              <w:spacing w:after="0" w:line="219" w:lineRule="exact"/>
              <w:rPr>
                <w:sz w:val="20"/>
                <w:szCs w:val="20"/>
                <w:color w:val="auto"/>
              </w:rPr>
            </w:pPr>
            <w:r>
              <w:rPr>
                <w:rFonts w:ascii="Times New Roman" w:cs="Times New Roman" w:eastAsia="Times New Roman" w:hAnsi="Times New Roman"/>
                <w:sz w:val="22"/>
                <w:szCs w:val="22"/>
                <w:color w:val="auto"/>
              </w:rPr>
              <w:t>Ciltacabtagene Autoleucel (Cilta-cel) vs</w:t>
            </w:r>
          </w:p>
        </w:tc>
        <w:tc>
          <w:tcPr>
            <w:tcW w:w="3800" w:type="dxa"/>
            <w:vAlign w:val="bottom"/>
            <w:tcBorders>
              <w:right w:val="single" w:sz="8" w:color="auto"/>
            </w:tcBorders>
          </w:tcPr>
          <w:p>
            <w:pPr>
              <w:spacing w:after="0" w:line="219" w:lineRule="exact"/>
              <w:rPr>
                <w:sz w:val="20"/>
                <w:szCs w:val="20"/>
                <w:color w:val="auto"/>
              </w:rPr>
            </w:pPr>
            <w:r>
              <w:rPr>
                <w:rFonts w:ascii="Times New Roman" w:cs="Times New Roman" w:eastAsia="Times New Roman" w:hAnsi="Times New Roman"/>
                <w:sz w:val="22"/>
                <w:szCs w:val="22"/>
                <w:color w:val="auto"/>
                <w:w w:val="98"/>
              </w:rPr>
              <w:t>Rakesh Popat, Albert Oriol, Michele Cavo,</w:t>
            </w:r>
          </w:p>
        </w:tc>
        <w:tc>
          <w:tcPr>
            <w:tcW w:w="3700" w:type="dxa"/>
            <w:vAlign w:val="bottom"/>
            <w:tcBorders>
              <w:right w:val="single" w:sz="8" w:color="auto"/>
            </w:tcBorders>
          </w:tcPr>
          <w:p>
            <w:pPr>
              <w:ind w:left="20"/>
              <w:spacing w:after="0" w:line="219" w:lineRule="exact"/>
              <w:rPr>
                <w:sz w:val="20"/>
                <w:szCs w:val="20"/>
                <w:color w:val="auto"/>
              </w:rPr>
            </w:pPr>
            <w:r>
              <w:rPr>
                <w:rFonts w:ascii="Times New Roman" w:cs="Times New Roman" w:eastAsia="Times New Roman" w:hAnsi="Times New Roman"/>
                <w:sz w:val="22"/>
                <w:szCs w:val="22"/>
                <w:b w:val="1"/>
                <w:bCs w:val="1"/>
                <w:color w:val="auto"/>
              </w:rPr>
              <w:t>ORAL 1032</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Standard of Care (SoC) in Patients with</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Lionel Karlin, Irit Avivi, Wilfried</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Session Name</w:t>
            </w:r>
            <w:r>
              <w:rPr>
                <w:rFonts w:ascii="Times New Roman" w:cs="Times New Roman" w:eastAsia="Times New Roman" w:hAnsi="Times New Roman"/>
                <w:sz w:val="22"/>
                <w:szCs w:val="22"/>
                <w:color w:val="auto"/>
              </w:rPr>
              <w:t>: 655. Multiple Myeloma:</w:t>
            </w:r>
          </w:p>
        </w:tc>
      </w:tr>
      <w:tr>
        <w:trPr>
          <w:trHeight w:val="243"/>
        </w:trPr>
        <w:tc>
          <w:tcPr>
            <w:tcW w:w="374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Lenalidomide-Refractory Multiple</w:t>
            </w: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Roeloffzen, Seok Jin Kim, Brea Lipe,</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Cellular Therapies: Unleashing Cell</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Myeloma (MM) After 1–3 Lines of</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Noffar Bar, Noemi Horvath, Andrew</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Therapies Against Myeloma</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Therapy: Minimal Residual Disease</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Spencer, Chang Ki Min, Diana Chen,</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Session Date: </w:t>
            </w:r>
            <w:r>
              <w:rPr>
                <w:rFonts w:ascii="Times New Roman" w:cs="Times New Roman" w:eastAsia="Times New Roman" w:hAnsi="Times New Roman"/>
                <w:sz w:val="22"/>
                <w:szCs w:val="22"/>
                <w:color w:val="auto"/>
              </w:rPr>
              <w:t>Monday, December 9,</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(MRD) Negativity in the Phase 3</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Quanlin Li, Katherine Li, Ana Slaughter,</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2024</w:t>
            </w:r>
          </w:p>
        </w:tc>
      </w:tr>
      <w:tr>
        <w:trPr>
          <w:trHeight w:val="243"/>
        </w:trPr>
        <w:tc>
          <w:tcPr>
            <w:tcW w:w="374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CARTITUDE-4 Trial</w:t>
            </w: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Carolina Lonardi, Nina Benachour, Arnab</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Session Time: </w:t>
            </w:r>
            <w:r>
              <w:rPr>
                <w:rFonts w:ascii="Times New Roman" w:cs="Times New Roman" w:eastAsia="Times New Roman" w:hAnsi="Times New Roman"/>
                <w:sz w:val="22"/>
                <w:szCs w:val="22"/>
                <w:color w:val="auto"/>
              </w:rPr>
              <w:t>4:30 p.m. - 6:00 p.m. PT</w:t>
            </w:r>
          </w:p>
        </w:tc>
      </w:tr>
      <w:tr>
        <w:trPr>
          <w:trHeight w:val="243"/>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Ghosh, Martin Vogel, Nikoletta Lendvai,</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Presentation Time: </w:t>
            </w:r>
            <w:r>
              <w:rPr>
                <w:rFonts w:ascii="Times New Roman" w:cs="Times New Roman" w:eastAsia="Times New Roman" w:hAnsi="Times New Roman"/>
                <w:sz w:val="22"/>
                <w:szCs w:val="22"/>
                <w:color w:val="auto"/>
              </w:rPr>
              <w:t>5:45 - 6:00 p.m. PT</w:t>
            </w:r>
          </w:p>
        </w:tc>
      </w:tr>
      <w:tr>
        <w:trPr>
          <w:trHeight w:val="247"/>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Tamar Lengil, Nitin Patel, Octavio Costa</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Room: </w:t>
            </w:r>
            <w:r>
              <w:rPr>
                <w:rFonts w:ascii="Times New Roman" w:cs="Times New Roman" w:eastAsia="Times New Roman" w:hAnsi="Times New Roman"/>
                <w:sz w:val="22"/>
                <w:szCs w:val="22"/>
                <w:color w:val="auto"/>
              </w:rPr>
              <w:t>Marriott Marquis San Diego</w:t>
            </w:r>
          </w:p>
        </w:tc>
      </w:tr>
      <w:tr>
        <w:trPr>
          <w:trHeight w:val="283"/>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Filho, Erika Florendo, Yi Lin</w:t>
            </w: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Marina, Pacific Ballroom Salons 24-26</w:t>
            </w:r>
          </w:p>
        </w:tc>
      </w:tr>
      <w:tr>
        <w:trPr>
          <w:trHeight w:val="219"/>
        </w:trPr>
        <w:tc>
          <w:tcPr>
            <w:tcW w:w="3740" w:type="dxa"/>
            <w:vAlign w:val="bottom"/>
            <w:tcBorders>
              <w:left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2"/>
                <w:szCs w:val="22"/>
                <w:color w:val="auto"/>
              </w:rPr>
              <w:t>Long-Term Benefits in Patient-Reported</w:t>
            </w:r>
          </w:p>
        </w:tc>
        <w:tc>
          <w:tcPr>
            <w:tcW w:w="3800" w:type="dxa"/>
            <w:vAlign w:val="bottom"/>
            <w:tcBorders>
              <w:right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w w:val="98"/>
              </w:rPr>
              <w:t>Noffar Bar, Roberto Mina, Anne K. Mylin,</w:t>
            </w:r>
          </w:p>
        </w:tc>
        <w:tc>
          <w:tcPr>
            <w:tcW w:w="370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POSTER 2002</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Outcomes and Time to Next Anti-</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Hisayuki Yokoyama, Hila Magen,</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Session Name: </w:t>
            </w:r>
            <w:r>
              <w:rPr>
                <w:rFonts w:ascii="Times New Roman" w:cs="Times New Roman" w:eastAsia="Times New Roman" w:hAnsi="Times New Roman"/>
                <w:sz w:val="22"/>
                <w:szCs w:val="22"/>
                <w:color w:val="auto"/>
              </w:rPr>
              <w:t>655. Multiple Myeloma:</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Myeloma Therapy of Ciltacabtagene</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Winfried Alsdorf, Monique C. Minnema,</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Cellular Therapies: Poster I</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autoleucel (Cilta-cel) Versus Standard of</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Leyla Shune, Iris Isufi, Simon J. Harrison,</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Session Date: </w:t>
            </w:r>
            <w:r>
              <w:rPr>
                <w:rFonts w:ascii="Times New Roman" w:cs="Times New Roman" w:eastAsia="Times New Roman" w:hAnsi="Times New Roman"/>
                <w:sz w:val="22"/>
                <w:szCs w:val="22"/>
                <w:color w:val="auto"/>
              </w:rPr>
              <w:t>Saturday, December 7,</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Care for Patients With Lenalidomide-</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Urvi A. Shah, André De Champlain,</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2024</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Refractory Multiple Myeloma: Results</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Katherine S. Gries, Diana Chen, Quanlin</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Presentation Time: </w:t>
            </w:r>
            <w:r>
              <w:rPr>
                <w:rFonts w:ascii="Times New Roman" w:cs="Times New Roman" w:eastAsia="Times New Roman" w:hAnsi="Times New Roman"/>
                <w:sz w:val="22"/>
                <w:szCs w:val="22"/>
                <w:color w:val="auto"/>
                <w:w w:val="97"/>
              </w:rPr>
              <w:t>6:00 p.m. - 8:00 p.m.</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From the Phase 3 CARTITUDE-4</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Li, Tzu-Min Yeh, Ana Slaughter, Carolina</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PT</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Clinical Trial</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Lonardi, Nina Benachour, Arnab Ghosh,</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Room: </w:t>
            </w:r>
            <w:r>
              <w:rPr>
                <w:rFonts w:ascii="Times New Roman" w:cs="Times New Roman" w:eastAsia="Times New Roman" w:hAnsi="Times New Roman"/>
                <w:sz w:val="22"/>
                <w:szCs w:val="22"/>
                <w:color w:val="auto"/>
              </w:rPr>
              <w:t>San Diego Convention Center,</w:t>
            </w:r>
          </w:p>
        </w:tc>
      </w:tr>
      <w:tr>
        <w:trPr>
          <w:trHeight w:val="243"/>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William Deraedt, Martin Vogel, Nikoletta</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Halls G-H</w:t>
            </w:r>
          </w:p>
        </w:tc>
      </w:tr>
      <w:tr>
        <w:trPr>
          <w:trHeight w:val="243"/>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Lendvai, Nitin Patel, Octavio Costa Filho,</w:t>
            </w:r>
          </w:p>
        </w:tc>
        <w:tc>
          <w:tcPr>
            <w:tcW w:w="3700" w:type="dxa"/>
            <w:vAlign w:val="bottom"/>
            <w:tcBorders>
              <w:right w:val="single" w:sz="8" w:color="auto"/>
            </w:tcBorders>
          </w:tcPr>
          <w:p>
            <w:pPr>
              <w:spacing w:after="0"/>
              <w:rPr>
                <w:sz w:val="21"/>
                <w:szCs w:val="21"/>
                <w:color w:val="auto"/>
              </w:rPr>
            </w:pPr>
          </w:p>
        </w:tc>
      </w:tr>
      <w:tr>
        <w:trPr>
          <w:trHeight w:val="243"/>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Erika Florendo, Lionel Karlin, Katja</w:t>
            </w:r>
          </w:p>
        </w:tc>
        <w:tc>
          <w:tcPr>
            <w:tcW w:w="3700" w:type="dxa"/>
            <w:vAlign w:val="bottom"/>
            <w:tcBorders>
              <w:right w:val="single" w:sz="8" w:color="auto"/>
            </w:tcBorders>
          </w:tcPr>
          <w:p>
            <w:pPr>
              <w:spacing w:after="0"/>
              <w:rPr>
                <w:sz w:val="21"/>
                <w:szCs w:val="21"/>
                <w:color w:val="auto"/>
              </w:rPr>
            </w:pPr>
          </w:p>
        </w:tc>
      </w:tr>
      <w:tr>
        <w:trPr>
          <w:trHeight w:val="283"/>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Weisel</w:t>
            </w:r>
          </w:p>
        </w:tc>
        <w:tc>
          <w:tcPr>
            <w:tcW w:w="3700" w:type="dxa"/>
            <w:vAlign w:val="bottom"/>
            <w:tcBorders>
              <w:bottom w:val="single" w:sz="8" w:color="auto"/>
              <w:right w:val="single" w:sz="8" w:color="auto"/>
            </w:tcBorders>
          </w:tcPr>
          <w:p>
            <w:pPr>
              <w:spacing w:after="0"/>
              <w:rPr>
                <w:sz w:val="24"/>
                <w:szCs w:val="24"/>
                <w:color w:val="auto"/>
              </w:rPr>
            </w:pPr>
          </w:p>
        </w:tc>
      </w:tr>
      <w:tr>
        <w:trPr>
          <w:trHeight w:val="219"/>
        </w:trPr>
        <w:tc>
          <w:tcPr>
            <w:tcW w:w="3740" w:type="dxa"/>
            <w:vAlign w:val="bottom"/>
            <w:tcBorders>
              <w:left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2"/>
                <w:szCs w:val="22"/>
                <w:color w:val="auto"/>
              </w:rPr>
              <w:t>Updated Comparative Efficacy of</w:t>
            </w:r>
          </w:p>
        </w:tc>
        <w:tc>
          <w:tcPr>
            <w:tcW w:w="3800" w:type="dxa"/>
            <w:vAlign w:val="bottom"/>
            <w:tcBorders>
              <w:right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rPr>
              <w:t>Nieves Lopez-Muñoz, Noffar Bar, Joris</w:t>
            </w:r>
          </w:p>
        </w:tc>
        <w:tc>
          <w:tcPr>
            <w:tcW w:w="370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POSTER 3390</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Ciltacabtagene Autoleucel Versus</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Diels, Suzy Van Sanden, João Mendes,</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Session Name: </w:t>
            </w:r>
            <w:r>
              <w:rPr>
                <w:rFonts w:ascii="Times New Roman" w:cs="Times New Roman" w:eastAsia="Times New Roman" w:hAnsi="Times New Roman"/>
                <w:sz w:val="22"/>
                <w:szCs w:val="22"/>
                <w:color w:val="auto"/>
              </w:rPr>
              <w:t>655. Multiple Myeloma:</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Idecabtagene Vicleucel in Patients With</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Seina Lee, Teresa Hernando, Nikoletta</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Cellular Therapies: Poster II</w:t>
            </w:r>
          </w:p>
        </w:tc>
      </w:tr>
      <w:tr>
        <w:trPr>
          <w:trHeight w:val="243"/>
        </w:trPr>
        <w:tc>
          <w:tcPr>
            <w:tcW w:w="374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Relapsed or Refractory Multiple</w:t>
            </w:r>
          </w:p>
        </w:tc>
        <w:tc>
          <w:tcPr>
            <w:tcW w:w="38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9"/>
              </w:rPr>
              <w:t>Lendvai, Nitin Patel, Tadao Ishida, Jeremy</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 xml:space="preserve">Session Date: </w:t>
            </w:r>
            <w:r>
              <w:rPr>
                <w:rFonts w:ascii="Times New Roman" w:cs="Times New Roman" w:eastAsia="Times New Roman" w:hAnsi="Times New Roman"/>
                <w:sz w:val="22"/>
                <w:szCs w:val="22"/>
                <w:color w:val="auto"/>
                <w:w w:val="98"/>
              </w:rPr>
              <w:t>Sunday, December 8, 2024</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Myeloma Previously Treated With 2–4</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Er, Simon J. Harrison, Urvi Shah</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Presentation Time: </w:t>
            </w:r>
            <w:r>
              <w:rPr>
                <w:rFonts w:ascii="Times New Roman" w:cs="Times New Roman" w:eastAsia="Times New Roman" w:hAnsi="Times New Roman"/>
                <w:sz w:val="22"/>
                <w:szCs w:val="22"/>
                <w:color w:val="auto"/>
                <w:w w:val="97"/>
              </w:rPr>
              <w:t>6:00 p.m. - 8:00 p.m.</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w w:val="98"/>
              </w:rPr>
              <w:t>Prior Lines of Therapy Using a Matching-</w:t>
            </w: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PT</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Adjusted Indirect Comparison</w:t>
            </w:r>
          </w:p>
        </w:tc>
        <w:tc>
          <w:tcPr>
            <w:tcW w:w="38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Room: </w:t>
            </w:r>
            <w:r>
              <w:rPr>
                <w:rFonts w:ascii="Times New Roman" w:cs="Times New Roman" w:eastAsia="Times New Roman" w:hAnsi="Times New Roman"/>
                <w:sz w:val="22"/>
                <w:szCs w:val="22"/>
                <w:color w:val="auto"/>
              </w:rPr>
              <w:t>San Diego Convention Center,</w:t>
            </w:r>
          </w:p>
        </w:tc>
      </w:tr>
      <w:tr>
        <w:trPr>
          <w:trHeight w:val="283"/>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Halls G-H</w:t>
            </w:r>
          </w:p>
        </w:tc>
      </w:tr>
      <w:tr>
        <w:trPr>
          <w:trHeight w:val="219"/>
        </w:trPr>
        <w:tc>
          <w:tcPr>
            <w:tcW w:w="3740" w:type="dxa"/>
            <w:vAlign w:val="bottom"/>
            <w:tcBorders>
              <w:left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2"/>
                <w:szCs w:val="22"/>
                <w:color w:val="auto"/>
              </w:rPr>
              <w:t>Efficacy of CARVYKTI in</w:t>
            </w:r>
          </w:p>
        </w:tc>
        <w:tc>
          <w:tcPr>
            <w:tcW w:w="3800" w:type="dxa"/>
            <w:vAlign w:val="bottom"/>
            <w:tcBorders>
              <w:right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rPr>
              <w:t>Rafael Fonseca, Joris Diels, Francesca</w:t>
            </w:r>
          </w:p>
        </w:tc>
        <w:tc>
          <w:tcPr>
            <w:tcW w:w="3700" w:type="dxa"/>
            <w:vAlign w:val="bottom"/>
            <w:tcBorders>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POSTER 2005</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CARTITUDE-4 Versus Other</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Ghilotti, João Mendes, Teresa Hernando,</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Session Name: </w:t>
            </w:r>
            <w:r>
              <w:rPr>
                <w:rFonts w:ascii="Times New Roman" w:cs="Times New Roman" w:eastAsia="Times New Roman" w:hAnsi="Times New Roman"/>
                <w:sz w:val="22"/>
                <w:szCs w:val="22"/>
                <w:color w:val="auto"/>
              </w:rPr>
              <w:t>655. Multiple Myeloma:</w:t>
            </w:r>
          </w:p>
        </w:tc>
      </w:tr>
      <w:tr>
        <w:trPr>
          <w:trHeight w:val="239"/>
        </w:trPr>
        <w:tc>
          <w:tcPr>
            <w:tcW w:w="37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Conventional Treatment Regimens for</w:t>
            </w:r>
          </w:p>
        </w:tc>
        <w:tc>
          <w:tcPr>
            <w:tcW w:w="3800" w:type="dxa"/>
            <w:vAlign w:val="bottom"/>
            <w:tcBorders>
              <w:right w:val="single" w:sz="8" w:color="auto"/>
            </w:tcBorders>
          </w:tcPr>
          <w:p>
            <w:pPr>
              <w:spacing w:after="0" w:line="239" w:lineRule="exact"/>
              <w:rPr>
                <w:sz w:val="20"/>
                <w:szCs w:val="20"/>
                <w:color w:val="auto"/>
              </w:rPr>
            </w:pPr>
            <w:r>
              <w:rPr>
                <w:rFonts w:ascii="Times New Roman" w:cs="Times New Roman" w:eastAsia="Times New Roman" w:hAnsi="Times New Roman"/>
                <w:sz w:val="22"/>
                <w:szCs w:val="22"/>
                <w:color w:val="auto"/>
              </w:rPr>
              <w:t>Seina Lee, Jordan M. Schecter, Nikoletta</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Cellular Therapies: Poster I</w:t>
            </w:r>
          </w:p>
        </w:tc>
      </w:tr>
      <w:tr>
        <w:trPr>
          <w:trHeight w:val="256"/>
        </w:trPr>
        <w:tc>
          <w:tcPr>
            <w:tcW w:w="3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Lenalidomide-Refractory Multiple</w:t>
            </w:r>
          </w:p>
        </w:tc>
        <w:tc>
          <w:tcPr>
            <w:tcW w:w="38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Session Date: </w:t>
            </w:r>
            <w:r>
              <w:rPr>
                <w:rFonts w:ascii="Times New Roman" w:cs="Times New Roman" w:eastAsia="Times New Roman" w:hAnsi="Times New Roman"/>
                <w:sz w:val="22"/>
                <w:szCs w:val="22"/>
                <w:color w:val="auto"/>
              </w:rPr>
              <w:t>Saturday, December 7,</w:t>
            </w:r>
          </w:p>
        </w:tc>
      </w:tr>
    </w:tbl>
    <w:p>
      <w:pPr>
        <w:sectPr>
          <w:pgSz w:w="11900" w:h="16900" w:orient="portrait"/>
          <w:cols w:equalWidth="0" w:num="1">
            <w:col w:w="11240"/>
          </w:cols>
          <w:pgMar w:left="320" w:top="108" w:right="339" w:bottom="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Myeloma Patients Using Inverse</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Lendvai, Nitin Patel, Ana Triguero,</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2024</w:t>
            </w:r>
          </w:p>
        </w:tc>
      </w:tr>
      <w:tr>
        <w:trPr>
          <w:trHeight w:val="247"/>
        </w:trPr>
        <w:tc>
          <w:tcPr>
            <w:tcW w:w="3740" w:type="dxa"/>
            <w:vAlign w:val="bottom"/>
            <w:tcBorders>
              <w:left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Probability of Treatment Weighting</w:t>
            </w:r>
          </w:p>
        </w:tc>
        <w:tc>
          <w:tcPr>
            <w:tcW w:w="3800" w:type="dxa"/>
            <w:vAlign w:val="bottom"/>
            <w:tcBorders>
              <w:right w:val="single" w:sz="8" w:color="auto"/>
            </w:tcBorders>
          </w:tcPr>
          <w:p>
            <w:pPr>
              <w:spacing w:after="0" w:line="247" w:lineRule="exact"/>
              <w:rPr>
                <w:sz w:val="20"/>
                <w:szCs w:val="20"/>
                <w:color w:val="auto"/>
              </w:rPr>
            </w:pPr>
            <w:r>
              <w:rPr>
                <w:rFonts w:ascii="Times New Roman" w:cs="Times New Roman" w:eastAsia="Times New Roman" w:hAnsi="Times New Roman"/>
                <w:sz w:val="22"/>
                <w:szCs w:val="22"/>
                <w:color w:val="auto"/>
              </w:rPr>
              <w:t>Winfried Alsdorf, Margherita Ursi</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Presentation Time: </w:t>
            </w:r>
            <w:r>
              <w:rPr>
                <w:rFonts w:ascii="Times New Roman" w:cs="Times New Roman" w:eastAsia="Times New Roman" w:hAnsi="Times New Roman"/>
                <w:sz w:val="22"/>
                <w:szCs w:val="22"/>
                <w:color w:val="auto"/>
                <w:w w:val="97"/>
              </w:rPr>
              <w:t>5:30 p.m. - 7:30 p.m.</w:t>
            </w:r>
          </w:p>
        </w:tc>
      </w:tr>
      <w:tr>
        <w:trPr>
          <w:trHeight w:val="239"/>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PT</w:t>
            </w:r>
          </w:p>
        </w:tc>
      </w:tr>
      <w:tr>
        <w:trPr>
          <w:trHeight w:val="247"/>
        </w:trPr>
        <w:tc>
          <w:tcPr>
            <w:tcW w:w="3740" w:type="dxa"/>
            <w:vAlign w:val="bottom"/>
            <w:tcBorders>
              <w:left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Room: </w:t>
            </w:r>
            <w:r>
              <w:rPr>
                <w:rFonts w:ascii="Times New Roman" w:cs="Times New Roman" w:eastAsia="Times New Roman" w:hAnsi="Times New Roman"/>
                <w:sz w:val="22"/>
                <w:szCs w:val="22"/>
                <w:color w:val="auto"/>
              </w:rPr>
              <w:t>San Diego Convention Center,</w:t>
            </w:r>
          </w:p>
        </w:tc>
      </w:tr>
      <w:tr>
        <w:trPr>
          <w:trHeight w:val="283"/>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Halls G-H</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IMPORTANT SAFETY INFORMATION</w:t>
      </w:r>
    </w:p>
    <w:p>
      <w:pPr>
        <w:spacing w:after="0" w:line="12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WARNING: CYTOKINE RELEASE SYNDROME, NEUROLOGIC TOXICITIES, HLH/MAS, PROLONGED and RECURRENT CYTOPENIA, and SECONDARY HEMATOLOGICAL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4869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86918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Cytokine Release Syndrome (CRS), including fatal or life-threatening reactions, occurred in patients following treatment</w:t>
      </w:r>
    </w:p>
    <w:p>
      <w:pPr>
        <w:spacing w:after="0" w:line="35" w:lineRule="exact"/>
        <w:rPr>
          <w:sz w:val="20"/>
          <w:szCs w:val="20"/>
          <w:color w:val="auto"/>
        </w:rPr>
      </w:pPr>
    </w:p>
    <w:p>
      <w:pPr>
        <w:ind w:left="40" w:right="160"/>
        <w:spacing w:after="0" w:line="201" w:lineRule="auto"/>
        <w:rPr>
          <w:sz w:val="20"/>
          <w:szCs w:val="20"/>
          <w:color w:val="auto"/>
        </w:rPr>
      </w:pPr>
      <w:r>
        <w:rPr>
          <w:rFonts w:ascii="Times New Roman" w:cs="Times New Roman" w:eastAsia="Times New Roman" w:hAnsi="Times New Roman"/>
          <w:sz w:val="22"/>
          <w:szCs w:val="22"/>
          <w:b w:val="1"/>
          <w:bCs w:val="1"/>
          <w:color w:val="auto"/>
        </w:rPr>
        <w:t xml:space="preserve">with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Do not administer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to patients with active infection or inflammatory disorders. Treat severe or life-threatening CRS with tocilizumab or tocilizumab and corticosteroids.</w:t>
      </w:r>
    </w:p>
    <w:p>
      <w:pPr>
        <w:spacing w:after="0" w:line="201" w:lineRule="exact"/>
        <w:rPr>
          <w:sz w:val="20"/>
          <w:szCs w:val="20"/>
          <w:color w:val="auto"/>
        </w:rPr>
      </w:pPr>
    </w:p>
    <w:p>
      <w:pPr>
        <w:ind w:left="40" w:right="100"/>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Immune Effector Cell-Associated Neurotoxicity Syndrome (ICANS), which may be fatal or life-threatening, occurred following treatment with CARVYKTI </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including before CRS onset, concurrently with CRS, after CRS resolution, or in</w:t>
      </w:r>
    </w:p>
    <w:p>
      <w:pPr>
        <w:spacing w:after="0" w:line="1" w:lineRule="exact"/>
        <w:rPr>
          <w:sz w:val="20"/>
          <w:szCs w:val="20"/>
          <w:color w:val="auto"/>
        </w:rPr>
      </w:pPr>
    </w:p>
    <w:p>
      <w:pPr>
        <w:ind w:left="40" w:right="260"/>
        <w:spacing w:after="0" w:line="201" w:lineRule="auto"/>
        <w:rPr>
          <w:sz w:val="20"/>
          <w:szCs w:val="20"/>
          <w:color w:val="auto"/>
        </w:rPr>
      </w:pPr>
      <w:r>
        <w:rPr>
          <w:rFonts w:ascii="Times New Roman" w:cs="Times New Roman" w:eastAsia="Times New Roman" w:hAnsi="Times New Roman"/>
          <w:sz w:val="22"/>
          <w:szCs w:val="22"/>
          <w:b w:val="1"/>
          <w:bCs w:val="1"/>
          <w:color w:val="auto"/>
        </w:rPr>
        <w:t xml:space="preserve">the absence of CRS. Monitor for neurologic events after treatment with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Provide supportive care and/or corticosteroids as needed.</w:t>
      </w:r>
    </w:p>
    <w:p>
      <w:pPr>
        <w:spacing w:after="0" w:line="201" w:lineRule="exact"/>
        <w:rPr>
          <w:sz w:val="20"/>
          <w:szCs w:val="20"/>
          <w:color w:val="auto"/>
        </w:rPr>
      </w:pPr>
    </w:p>
    <w:p>
      <w:pPr>
        <w:ind w:left="40" w:right="1060"/>
        <w:spacing w:after="0" w:line="285" w:lineRule="auto"/>
        <w:rPr>
          <w:sz w:val="20"/>
          <w:szCs w:val="20"/>
          <w:color w:val="auto"/>
        </w:rPr>
      </w:pPr>
      <w:r>
        <w:rPr>
          <w:rFonts w:ascii="Times New Roman" w:cs="Times New Roman" w:eastAsia="Times New Roman" w:hAnsi="Times New Roman"/>
          <w:sz w:val="22"/>
          <w:szCs w:val="22"/>
          <w:b w:val="1"/>
          <w:bCs w:val="1"/>
          <w:color w:val="auto"/>
        </w:rPr>
        <w:t xml:space="preserve">Parkinsonism and Guillain-Barré syndrome (GBS) and their associated complications resulting in fatal or life-threatening reactions have occurred following treatment with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Hemophagocytic Lymphohistiocytosis/Macrophage Activation Syndrome (HLH/MAS), including fatal and life-</w:t>
      </w:r>
    </w:p>
    <w:p>
      <w:pPr>
        <w:spacing w:after="0" w:line="23" w:lineRule="exact"/>
        <w:rPr>
          <w:sz w:val="20"/>
          <w:szCs w:val="20"/>
          <w:color w:val="auto"/>
        </w:rPr>
      </w:pPr>
    </w:p>
    <w:p>
      <w:pPr>
        <w:ind w:left="40" w:right="280"/>
        <w:spacing w:after="0" w:line="201" w:lineRule="auto"/>
        <w:rPr>
          <w:sz w:val="20"/>
          <w:szCs w:val="20"/>
          <w:color w:val="auto"/>
        </w:rPr>
      </w:pPr>
      <w:r>
        <w:rPr>
          <w:rFonts w:ascii="Times New Roman" w:cs="Times New Roman" w:eastAsia="Times New Roman" w:hAnsi="Times New Roman"/>
          <w:sz w:val="22"/>
          <w:szCs w:val="22"/>
          <w:b w:val="1"/>
          <w:bCs w:val="1"/>
          <w:color w:val="auto"/>
        </w:rPr>
        <w:t xml:space="preserve">threatening reactions, occurred in patients following treatment with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HLH/MAS can occur with CRS or neurologic toxicities.</w:t>
      </w:r>
    </w:p>
    <w:p>
      <w:pPr>
        <w:spacing w:after="0" w:line="201" w:lineRule="exact"/>
        <w:rPr>
          <w:sz w:val="20"/>
          <w:szCs w:val="20"/>
          <w:color w:val="auto"/>
        </w:rPr>
      </w:pPr>
    </w:p>
    <w:p>
      <w:pPr>
        <w:ind w:left="40" w:right="480"/>
        <w:spacing w:after="0" w:line="285" w:lineRule="auto"/>
        <w:rPr>
          <w:sz w:val="20"/>
          <w:szCs w:val="20"/>
          <w:color w:val="auto"/>
        </w:rPr>
      </w:pPr>
      <w:r>
        <w:rPr>
          <w:rFonts w:ascii="Times New Roman" w:cs="Times New Roman" w:eastAsia="Times New Roman" w:hAnsi="Times New Roman"/>
          <w:sz w:val="22"/>
          <w:szCs w:val="22"/>
          <w:b w:val="1"/>
          <w:bCs w:val="1"/>
          <w:color w:val="auto"/>
        </w:rPr>
        <w:t xml:space="preserve">Prolonged and/or recurrent cytopenias with bleeding and infection and requirement for stem cell transplantation for hematopoietic recovery occurred following treatment with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Secondary hematological malignancies, including myelodysplastic syndrome and acute myeloid leukemia, have occurred</w:t>
      </w:r>
    </w:p>
    <w:p>
      <w:pPr>
        <w:spacing w:after="0" w:line="35" w:lineRule="exact"/>
        <w:rPr>
          <w:sz w:val="20"/>
          <w:szCs w:val="20"/>
          <w:color w:val="auto"/>
        </w:rPr>
      </w:pPr>
    </w:p>
    <w:p>
      <w:pPr>
        <w:ind w:left="40" w:right="540"/>
        <w:spacing w:after="0" w:line="204" w:lineRule="auto"/>
        <w:rPr>
          <w:sz w:val="20"/>
          <w:szCs w:val="20"/>
          <w:color w:val="auto"/>
        </w:rPr>
      </w:pPr>
      <w:r>
        <w:rPr>
          <w:rFonts w:ascii="Times New Roman" w:cs="Times New Roman" w:eastAsia="Times New Roman" w:hAnsi="Times New Roman"/>
          <w:sz w:val="21"/>
          <w:szCs w:val="21"/>
          <w:b w:val="1"/>
          <w:bCs w:val="1"/>
          <w:color w:val="auto"/>
        </w:rPr>
        <w:t xml:space="preserve">in patients following treatment with CARVYKTI </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T-cell malignancies have occurred following treatment of hematologic malignancies with BCMA- and CD19-directed genetically modified autologous T-cell immunotherapies,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including 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114" w:lineRule="exact"/>
        <w:rPr>
          <w:sz w:val="20"/>
          <w:szCs w:val="20"/>
          <w:color w:val="auto"/>
        </w:rPr>
      </w:pPr>
    </w:p>
    <w:p>
      <w:pPr>
        <w:ind w:left="40" w:right="16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CARVYKTI </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is available only through a restricted program under a Risk Evaluation and Mitigation Strategy (REMS) called the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REMS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WARNINGS AND PRECAUTIONS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INCREASED EARLY MORTALITY </w:t>
      </w:r>
      <w:r>
        <w:rPr>
          <w:rFonts w:ascii="Times New Roman" w:cs="Times New Roman" w:eastAsia="Times New Roman" w:hAnsi="Times New Roman"/>
          <w:sz w:val="21"/>
          <w:szCs w:val="21"/>
          <w:color w:val="auto"/>
        </w:rPr>
        <w:t>- In CARTITUDE-4, a (1:1) randomized controlled trial, there was a numerically higher</w:t>
      </w:r>
    </w:p>
    <w:p>
      <w:pPr>
        <w:spacing w:after="0" w:line="35"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1"/>
          <w:szCs w:val="21"/>
          <w:color w:val="auto"/>
        </w:rPr>
        <w:t>percentage of early deaths in patients randomized to the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treatment arm compared to the control arm. Among patients with deaths occurring within the first 10 months from randomization, a greater proportion (29/208; 14%) occurred in the</w:t>
      </w:r>
    </w:p>
    <w:p>
      <w:pPr>
        <w:spacing w:after="0" w:line="2" w:lineRule="exact"/>
        <w:rPr>
          <w:sz w:val="20"/>
          <w:szCs w:val="20"/>
          <w:color w:val="auto"/>
        </w:rPr>
      </w:pPr>
    </w:p>
    <w:p>
      <w:pPr>
        <w:ind w:right="40"/>
        <w:spacing w:after="0" w:line="182"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arm compared to (25/211; 12%) in the control arm. Of the 29 deaths that occurred in the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arm within the first 10 months of randomization, 10 deaths occurred prior to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and 19 deaths occurred after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Of the 10 deaths that occurred prior to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all occurred due to disease progression,</w:t>
      </w:r>
    </w:p>
    <w:p>
      <w:pPr>
        <w:spacing w:after="0" w:line="2" w:lineRule="exact"/>
        <w:rPr>
          <w:sz w:val="20"/>
          <w:szCs w:val="20"/>
          <w:color w:val="auto"/>
        </w:rPr>
      </w:pPr>
    </w:p>
    <w:p>
      <w:pPr>
        <w:ind w:right="220"/>
        <w:spacing w:after="0" w:line="201" w:lineRule="auto"/>
        <w:rPr>
          <w:sz w:val="20"/>
          <w:szCs w:val="20"/>
          <w:color w:val="auto"/>
        </w:rPr>
      </w:pPr>
      <w:r>
        <w:rPr>
          <w:rFonts w:ascii="Times New Roman" w:cs="Times New Roman" w:eastAsia="Times New Roman" w:hAnsi="Times New Roman"/>
          <w:sz w:val="22"/>
          <w:szCs w:val="22"/>
          <w:color w:val="auto"/>
        </w:rPr>
        <w:t>and none occurred due to adverse events. Of the 19 deaths that occurred after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3 occurred due to disease progression, and 16 occurred due to adverse events. The most common adverse events were due to infection (n=12).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CYTOKINE RELEASE SYNDROME (CRS)</w:t>
      </w:r>
      <w:r>
        <w:rPr>
          <w:rFonts w:ascii="Times New Roman" w:cs="Times New Roman" w:eastAsia="Times New Roman" w:hAnsi="Times New Roman"/>
          <w:sz w:val="21"/>
          <w:szCs w:val="21"/>
          <w:color w:val="auto"/>
        </w:rPr>
        <w:t>, including fatal or life-threatening reactions, occurred following treatment with</w:t>
      </w:r>
    </w:p>
    <w:p>
      <w:pPr>
        <w:spacing w:after="0" w:line="3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for RRMM in the CARTITUDE-1 &amp; 4 studies (N=285), CRS occurred in 84% (238/285), including ≥ Grade 3 CRS (ASCT 2019) in 4% (11/285) of patients. Median time to onset of CRS, any grade, was 7 days (range: 1 to 23 days). CRS resolved in 82% with a median duration of 4 days (range: 1 to 97 days). The most common manifestations of CRS in all patients combined (≥ 10%) included fever (84%), hypotension (29%) and aspartate aminotransferase increased (11%). Serious events that may be associated with CRS include pyrexia, hemophagocytic lymphohistiocytosis, respiratory failure, disseminated intravascular coagulation, capillary leak syndrome, and supraventricular and ventricular tachycardia. CRS occurred in 78% of patients in CARTITUDE-4 (3% Grade 3 to 4) and in 95% of patients in CARTITUDE-1 (4% Grade 3 to 4). Identify CRS based on clinical presentation. Evaluate for and treat other causes of fever, hypoxia, and hypotension. CRS has been reported to be associated with findings of HLH/MAS, and the physiology of the syndromes may overlap. HLH/MAS is a potentially life-threatening condition. In patients with progressive symptoms of CRS or refractory CRS despite treatment, evaluate for evidence of HLH/MAS. Please see Section 5.4; Hemophagocytic Lymphohistiocytosis (HLH)/Macrophage Activation Syndrome (MAS).</w:t>
      </w:r>
    </w:p>
    <w:p>
      <w:pPr>
        <w:sectPr>
          <w:pgSz w:w="11900" w:h="16838" w:orient="portrait"/>
          <w:cols w:equalWidth="0" w:num="1">
            <w:col w:w="11240"/>
          </w:cols>
          <w:pgMar w:left="320" w:top="98"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Ensure that a minimum of two doses of tocilizumab are available prior to infusion of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w:t>
      </w:r>
    </w:p>
    <w:p>
      <w:pPr>
        <w:spacing w:after="0" w:line="11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2"/>
          <w:szCs w:val="22"/>
          <w:color w:val="auto"/>
        </w:rPr>
        <w:t>Of the 285 patients who received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clinical trials, 53% (150/285) patients received tocilizumab; 35% (100/285) received a single dose, while 18% (50/285) received more than 1 dose of tocilizumab. Overall, 14% (39/285) of patients received at least one dose of corticosteroids for treatment of CRS.</w:t>
      </w:r>
    </w:p>
    <w:p>
      <w:pPr>
        <w:spacing w:after="0" w:line="185"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22"/>
          <w:szCs w:val="22"/>
          <w:color w:val="auto"/>
        </w:rPr>
        <w:t>Monitor patients at least daily for 10 days following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at a REMS-certified healthcare facility for signs and symptoms of CRS. Monitor patients for signs or symptoms of CRS for at least 4 weeks after infusion. At the first sign of CRS, immediately institute treatment with supportive care, tocilizumab, or tocilizumab and corticosteroids.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Counsel patients to seek immediate medical attention should signs or symptoms of CRS occur at any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NEUROLOGIC  TOXICITIES</w:t>
      </w:r>
      <w:r>
        <w:rPr>
          <w:rFonts w:ascii="Times New Roman" w:cs="Times New Roman" w:eastAsia="Times New Roman" w:hAnsi="Times New Roman"/>
          <w:sz w:val="22"/>
          <w:szCs w:val="22"/>
          <w:color w:val="auto"/>
        </w:rPr>
        <w:t>,  which  may  be  severe,  life-threatening,  or  fatal,  occurred  following  treatment  with</w:t>
      </w:r>
    </w:p>
    <w:p>
      <w:pPr>
        <w:spacing w:after="0" w:line="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Neurologic toxicities included ICANS, neurologic toxicity with signs and symptoms of parkinsonism, GBS, immune mediated myelitis, peripheral neuropathies, and cranial nerve palsies. Counsel patients on the signs and symptoms of these neurologic toxicities, and on the delayed nature of onset of some of these toxicities. Instruct patients to seek immediate medical attention for further assessment and management if signs or symptoms of any of these neurologic toxicities occur at any time.</w:t>
      </w:r>
    </w:p>
    <w:p>
      <w:pPr>
        <w:spacing w:after="0" w:line="18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for RRMM, one or more neurologic toxicities occurred in 24% (69/285), including ≥ Grade 3 cases in 7% (19/285) of patients. Median time to onset was 10 days (range: 1 to</w:t>
      </w:r>
    </w:p>
    <w:p>
      <w:pPr>
        <w:spacing w:after="0" w:line="2" w:lineRule="exact"/>
        <w:rPr>
          <w:sz w:val="20"/>
          <w:szCs w:val="20"/>
          <w:color w:val="auto"/>
        </w:rPr>
      </w:pPr>
    </w:p>
    <w:p>
      <w:pPr>
        <w:jc w:val="both"/>
        <w:ind w:firstLine="8"/>
        <w:spacing w:after="0" w:line="234" w:lineRule="auto"/>
        <w:tabs>
          <w:tab w:leader="none" w:pos="45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63/69 (91%) of cases developing by 30 days. Neurologic toxicities resolved in 72% (50/69) of patients with a median duration to resolution of 23 days (range: 1 to 544). Of patients developing neurotoxicity, 96% (66/69) also developed CRS. Subtypes of neurologic toxicities included ICANS in 13%, peripheral neuropathy in 7%, cranial nerve palsy in 7%, parkinsonism in 3%, and immune mediated myelitis in 0.4% of the patients.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Immune Effector Cell-Associated Neurotoxicity Syndrome (ICANS):</w:t>
      </w:r>
      <w:r>
        <w:rPr>
          <w:rFonts w:ascii="Times New Roman" w:cs="Times New Roman" w:eastAsia="Times New Roman" w:hAnsi="Times New Roman"/>
          <w:sz w:val="21"/>
          <w:szCs w:val="21"/>
          <w:color w:val="auto"/>
        </w:rPr>
        <w:t xml:space="preserve"> Patients 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may experience fatal or</w:t>
      </w:r>
    </w:p>
    <w:p>
      <w:pPr>
        <w:ind w:right="140"/>
        <w:spacing w:after="0" w:line="201" w:lineRule="auto"/>
        <w:rPr>
          <w:sz w:val="20"/>
          <w:szCs w:val="20"/>
          <w:color w:val="auto"/>
        </w:rPr>
      </w:pPr>
      <w:r>
        <w:rPr>
          <w:rFonts w:ascii="Times New Roman" w:cs="Times New Roman" w:eastAsia="Times New Roman" w:hAnsi="Times New Roman"/>
          <w:sz w:val="22"/>
          <w:szCs w:val="22"/>
          <w:color w:val="auto"/>
        </w:rPr>
        <w:t>life-threatening ICANS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including before CRS onset, concurrently with CRS, after CRS resolution, or in the absence of CRS.</w:t>
      </w:r>
    </w:p>
    <w:p>
      <w:pPr>
        <w:spacing w:after="0" w:line="183"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ICANS occurred in 13% (36/285), including Grade ≥3 in 2% (6/285) of the patients. Median time to onset of ICANS was 8 days (range: 1 to 28 days). ICANS resolved in 30 of 36 (83%) of patients with a median time to resolution of 3 days (range: 1 to 143 days). Median duration of ICANS was 6 days (range: 1 to 1229 days) in all patients including those with ongoing neurologic events at the time of death or data cut-off. Of patients with ICANS, 97% (35/36) had CRS. The onset of ICANS occurred during CRS in 69% of patients, before and after the onset of CRS in 14% of patients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Immune Effector Cell-associated Neurotoxicity Syndrome (ICANS) occurred in 7% of patients in CARTITUDE-4 (0.5% Grade</w:t>
      </w:r>
    </w:p>
    <w:p>
      <w:pPr>
        <w:spacing w:after="0" w:line="26" w:lineRule="exact"/>
        <w:rPr>
          <w:sz w:val="20"/>
          <w:szCs w:val="20"/>
          <w:color w:val="auto"/>
        </w:rPr>
      </w:pPr>
    </w:p>
    <w:p>
      <w:pPr>
        <w:ind w:firstLine="8"/>
        <w:spacing w:after="0" w:line="235" w:lineRule="auto"/>
        <w:tabs>
          <w:tab w:leader="none" w:pos="23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in 23% of patients in CARTITUDE-1 (3% Grade 3). The most frequent ≥2% manifestations of ICANS included encephalopathy (12%), aphasia (4%), headache (3%), motor dysfunction (3%), ataxia (2%), and sleep disorder (2%) [see Adverse Reactions (6.1)].</w:t>
      </w:r>
    </w:p>
    <w:p>
      <w:pPr>
        <w:spacing w:after="0" w:line="183"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22"/>
          <w:szCs w:val="22"/>
          <w:color w:val="auto"/>
        </w:rPr>
        <w:t>Monitor patients at least daily for 10 days following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at the REMS-certified healthcare facility for signs and symptoms of ICANS. Rule out other causes of ICANS symptoms. Monitor patients for signs or symptoms of ICANS for at least 4 weeks after infusion and treat promptly. Neurologic toxicity should be managed with supportive care and/or corticosteroids as needed [see Dosage and Administration (2.3)].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Parkinsonism:</w:t>
      </w:r>
      <w:r>
        <w:rPr>
          <w:rFonts w:ascii="Times New Roman" w:cs="Times New Roman" w:eastAsia="Times New Roman" w:hAnsi="Times New Roman"/>
          <w:sz w:val="22"/>
          <w:szCs w:val="22"/>
          <w:color w:val="auto"/>
        </w:rPr>
        <w:t xml:space="preserve"> Neurologic toxicity with parkinsonism has been reported in clinical trials of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Among patients</w:t>
      </w:r>
    </w:p>
    <w:p>
      <w:pPr>
        <w:ind w:right="80"/>
        <w:spacing w:after="0" w:line="217" w:lineRule="auto"/>
        <w:rPr>
          <w:sz w:val="20"/>
          <w:szCs w:val="20"/>
          <w:color w:val="auto"/>
        </w:rPr>
      </w:pPr>
      <w:r>
        <w:rPr>
          <w:rFonts w:ascii="Times New Roman" w:cs="Times New Roman" w:eastAsia="Times New Roman" w:hAnsi="Times New Roman"/>
          <w:sz w:val="22"/>
          <w:szCs w:val="22"/>
          <w:color w:val="auto"/>
        </w:rPr>
        <w:t>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parkinsonism occurred in 3% (8/285), including Grade ≥ 3 in 2% (5/285) of the patients. Median time to onset of parkinsonism was 56 days (range: 14 to 914 days). Parkinsonism resolved in 1 of 8 (13%) of patients with a median time to resolution of 523 days. Median duration of parkinsonism was 243.5 days (range: 62 to 720 days) in all patients including those with ongoing neurologic events at the time of death or data cut-off. The onset of parkinsonism occurred after CRS for all patients and after ICANS for 6 patients.</w:t>
      </w:r>
    </w:p>
    <w:p>
      <w:pPr>
        <w:spacing w:after="0" w:line="1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Parkinsonism occurred in 1% of patients in CARTITUDE-4 (no Grade 3 to 4) and in 6% of patients in CARTITUDE-1 (4% Grade 3 to 4).</w:t>
      </w:r>
    </w:p>
    <w:p>
      <w:pPr>
        <w:spacing w:after="0" w:line="15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Manifestations of parkinsonism included movement disorders, cognitive impairment, and personality changes. Monitor patients for signs and symptoms of parkinsonism that may be delayed in onset and managed with supportive care measures. There is limited efficacy information with medications used for the treatment of Parkinson’s disease for the improvement or resolution of</w:t>
      </w:r>
    </w:p>
    <w:p>
      <w:pPr>
        <w:spacing w:after="0"/>
        <w:rPr>
          <w:sz w:val="20"/>
          <w:szCs w:val="20"/>
          <w:color w:val="auto"/>
        </w:rPr>
      </w:pPr>
      <w:r>
        <w:rPr>
          <w:rFonts w:ascii="Times New Roman" w:cs="Times New Roman" w:eastAsia="Times New Roman" w:hAnsi="Times New Roman"/>
          <w:sz w:val="22"/>
          <w:szCs w:val="22"/>
          <w:color w:val="auto"/>
        </w:rPr>
        <w:t>parkinsonism symptoms following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treatment.</w:t>
      </w:r>
    </w:p>
    <w:p>
      <w:pPr>
        <w:spacing w:after="0" w:line="87"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22"/>
          <w:szCs w:val="22"/>
          <w:u w:val="single" w:color="auto"/>
          <w:color w:val="auto"/>
        </w:rPr>
        <w:t>Guillain-Barré Syndrome:</w:t>
      </w:r>
      <w:r>
        <w:rPr>
          <w:rFonts w:ascii="Times New Roman" w:cs="Times New Roman" w:eastAsia="Times New Roman" w:hAnsi="Times New Roman"/>
          <w:sz w:val="22"/>
          <w:szCs w:val="22"/>
          <w:color w:val="auto"/>
        </w:rPr>
        <w:t xml:space="preserve"> A fatal outcome following GBS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despite treatment with intravenous immunoglobulins. Symptoms reported include those consistent with Miller-Fisher variant of GBS, encephalopathy, motor weakness, speech disturbances, and polyradiculoneuritis.</w:t>
      </w:r>
    </w:p>
    <w:p>
      <w:pPr>
        <w:sectPr>
          <w:pgSz w:w="11900" w:h="16838" w:orient="portrait"/>
          <w:cols w:equalWidth="0" w:num="1">
            <w:col w:w="11240"/>
          </w:cols>
          <w:pgMar w:left="320" w:top="117" w:right="339" w:bottom="0" w:gutter="0" w:footer="0" w:header="0"/>
        </w:sectPr>
      </w:pPr>
    </w:p>
    <w:bookmarkStart w:id="6" w:name="page7"/>
    <w:bookmarkEnd w:id="6"/>
    <w:p>
      <w:pPr>
        <w:spacing w:after="0" w:line="13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2"/>
          <w:szCs w:val="22"/>
          <w:color w:val="auto"/>
        </w:rPr>
        <w:t>Monitor for GBS. Evaluate patients presenting with peripheral neuropathy for GBS. Consider treatment of GBS with supportive care measures and in conjunction with immunoglobulins and plasma exchange, depending on severity of GBS.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Immune Mediated Myelitis</w:t>
      </w:r>
      <w:r>
        <w:rPr>
          <w:rFonts w:ascii="Times New Roman" w:cs="Times New Roman" w:eastAsia="Times New Roman" w:hAnsi="Times New Roman"/>
          <w:sz w:val="21"/>
          <w:szCs w:val="21"/>
          <w:color w:val="auto"/>
        </w:rPr>
        <w:t>: Grade 3 myelitis occurred 25 days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CARTITUDE-4 in a</w:t>
      </w:r>
    </w:p>
    <w:p>
      <w:pPr>
        <w:ind w:right="320"/>
        <w:spacing w:after="0" w:line="209" w:lineRule="auto"/>
        <w:rPr>
          <w:sz w:val="20"/>
          <w:szCs w:val="20"/>
          <w:color w:val="auto"/>
        </w:rPr>
      </w:pPr>
      <w:r>
        <w:rPr>
          <w:rFonts w:ascii="Times New Roman" w:cs="Times New Roman" w:eastAsia="Times New Roman" w:hAnsi="Times New Roman"/>
          <w:sz w:val="22"/>
          <w:szCs w:val="22"/>
          <w:color w:val="auto"/>
        </w:rPr>
        <w:t>patient who received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as subsequent therapy. Symptoms reported included hypoesthesia of the lower extremities and the lower abdomen with impaired sphincter control. Symptoms improved with the use of corticosteroids and intravenous immune globulin. Myelitis was ongoing at the time of death from other cause.</w:t>
      </w:r>
    </w:p>
    <w:p>
      <w:pPr>
        <w:spacing w:after="0" w:line="184"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22"/>
          <w:szCs w:val="22"/>
          <w:u w:val="single" w:color="auto"/>
          <w:color w:val="auto"/>
        </w:rPr>
        <w:t>Peripheral Neuropathy</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peripheral neuropathy occurred in 7% (21/285), including Grade ≥3 in 1% (3/285) of the patients. Median time to onset of peripheral neuropathy was 57 days (range: 1 to 914 days). Peripheral neuropathy resolved in 11 of 21 (52%) of patients with a median time to resolution of 58 days (range: 1 to 215 days). Median duration of peripheral neuropathy was 149.5 days (range: 1 to 692 days) in all patients including those with ongoing neurologic events at the time of death or data cut-off.</w:t>
      </w:r>
    </w:p>
    <w:p>
      <w:pPr>
        <w:spacing w:after="0" w:line="18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Peripheral neuropathies occurred in 7% of patients in CARTITUDE-4 (0.5% Grade 3 to 4) and in 7% of patients in CARTITUDE-1 (2% Grade 3 to 4). Monitor patients for signs and symptoms of peripheral neuropathies. Patients who experience peripheral neuropathy may also experience cranial nerve palsies or GBS.</w:t>
      </w:r>
    </w:p>
    <w:p>
      <w:pPr>
        <w:spacing w:after="0" w:line="17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u w:val="single" w:color="auto"/>
          <w:color w:val="auto"/>
        </w:rPr>
        <w:t>Cranial Nerve Palsies</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cranial nerve palsies occurred in 7% (19/285), including Grade ≥3 in 1% (1/285) of the patients. Median time to onset of cranial nerve palsies was 21 days (range: 17 to 101 days). Cranial nerve palsies resolved in 17 of 19 (89%) of patients with a median time to resolution of 66 days (range: 1 to 209 days). Median duration of cranial nerve palsies was 70 days (range: 1 to 262 days) in all patients including those with ongoing neurologic events at the time of death or data cut-off. Cranial nerve palsies occurred in 9% of patients in CARTITUDE-4 (1% Grade 3 to 4) and in 3% of patients in CARTITUDE-1 (1% Grade 3 to 4).</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most frequent cranial nerve affected was the 7th cranial nerve. Additionally, cranial nerves III, V, and VI have been reported to be affected.</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Monitor patients for signs and symptoms of cranial nerve palsies. Consider management with systemic corticosteroids, depending on the severity and progression of signs and symptoms.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HEMOPHAGOCYTIC LYMPHOHISTIOCYTOSIS (HLH)/MACROPHAGE ACTIVATION SYNDROME (MAS)</w:t>
      </w:r>
      <w:r>
        <w:rPr>
          <w:rFonts w:ascii="Times New Roman" w:cs="Times New Roman" w:eastAsia="Times New Roman" w:hAnsi="Times New Roman"/>
          <w:sz w:val="22"/>
          <w:szCs w:val="22"/>
          <w:color w:val="auto"/>
        </w:rPr>
        <w:t>:</w:t>
      </w:r>
    </w:p>
    <w:p>
      <w:pPr>
        <w:spacing w:after="0" w:line="196"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the CARTITUDE-1 &amp; 4 studies, HLH/MAS occurred in 1% (3/285) of patients. All</w:t>
      </w:r>
    </w:p>
    <w:p>
      <w:pPr>
        <w:spacing w:after="0" w:line="1" w:lineRule="exact"/>
        <w:rPr>
          <w:sz w:val="20"/>
          <w:szCs w:val="20"/>
          <w:color w:val="auto"/>
        </w:rPr>
      </w:pPr>
    </w:p>
    <w:p>
      <w:pPr>
        <w:ind w:right="200"/>
        <w:spacing w:after="0" w:line="214" w:lineRule="auto"/>
        <w:rPr>
          <w:sz w:val="20"/>
          <w:szCs w:val="20"/>
          <w:color w:val="auto"/>
        </w:rPr>
      </w:pPr>
      <w:r>
        <w:rPr>
          <w:rFonts w:ascii="Times New Roman" w:cs="Times New Roman" w:eastAsia="Times New Roman" w:hAnsi="Times New Roman"/>
          <w:sz w:val="22"/>
          <w:szCs w:val="22"/>
          <w:color w:val="auto"/>
        </w:rPr>
        <w:t>events of HLH/MAS had onset within 99 days of receiving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with a median onset of 10 days (range: 8 to 99 days) and all occurred in the setting of ongoing or worsening CRS. The manifestations of HLH/MAS included hyperferritinemia, hypotension, hypoxia with diffuse alveolar damage, coagulopathy and hemorrhage, cytopenia, and multi-organ dysfunction, including renal dysfunction and respiratory failure.</w:t>
      </w:r>
    </w:p>
    <w:p>
      <w:pPr>
        <w:spacing w:after="0" w:line="1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21"/>
          <w:szCs w:val="21"/>
          <w:color w:val="auto"/>
        </w:rPr>
        <w:t>Patients who develop HLH/MAS have an increased risk of severe bleeding. Monitor hematologic parameters in patients with HLH/MAS and transfuse per institutional guidelines. Fatal cases of HLH/MAS occurred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HLH is a life-threatening condition with a high mortality rate if not recognized and treated early. Treatment of HLH/MAS should be administered per institutional standards.</w:t>
      </w:r>
    </w:p>
    <w:p>
      <w:pPr>
        <w:spacing w:after="0" w:line="163"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REMS</w:t>
      </w:r>
      <w:r>
        <w:rPr>
          <w:rFonts w:ascii="Times New Roman" w:cs="Times New Roman" w:eastAsia="Times New Roman" w:hAnsi="Times New Roman"/>
          <w:sz w:val="22"/>
          <w:szCs w:val="22"/>
          <w:color w:val="auto"/>
        </w:rPr>
        <w:t>: Because of the risk of CRS and neurologic toxicities,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available only through a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under a Risk Evaluation and Mitigation Strategy (REMS) called the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REMS.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information is available at https://www.carvyktirems.com or 1-844-672-0067.</w:t>
      </w:r>
    </w:p>
    <w:p>
      <w:pPr>
        <w:spacing w:after="0" w:line="202"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1"/>
          <w:szCs w:val="21"/>
          <w:b w:val="1"/>
          <w:bCs w:val="1"/>
          <w:color w:val="auto"/>
        </w:rPr>
        <w:t>PROLONGED AND RECURRENT CYTOPENIAS</w:t>
      </w:r>
      <w:r>
        <w:rPr>
          <w:rFonts w:ascii="Times New Roman" w:cs="Times New Roman" w:eastAsia="Times New Roman" w:hAnsi="Times New Roman"/>
          <w:sz w:val="21"/>
          <w:szCs w:val="21"/>
          <w:color w:val="auto"/>
        </w:rPr>
        <w:t>: Patients may exhibit prolonged and recurrent cytopenias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lymphodepleting chemotherapy and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Among patients 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the CARTITUDE-1 &amp; 4</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1"/>
          <w:szCs w:val="21"/>
          <w:color w:val="auto"/>
        </w:rPr>
        <w:t>studies, Grade 3 or higher cytopenias not resolved by day 30 following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occurred in 62% (176/285) of the patients and included thrombocytopenia 33% (94/285), neutropenia 27% (76/285), lymphopenia 24% (67/285) and anemia 2%</w:t>
      </w:r>
    </w:p>
    <w:p>
      <w:pPr>
        <w:spacing w:after="0" w:line="2"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(6/285). After Day 60 following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22%, 20%, 5%, and 6% of patients had a recurrence of Grade 3 or 4 lymphopenia, neutropenia, thrombocytopenia, and anemia respectively, after initial recovery of their Grade 3 or 4 cytopenia. Seventy-seven percent (219/285) of patients had one, two, or three or more recurrences of Grade 3 or 4 cytopenias after initial recovery of Grade 3 or 4 cytopenia. Sixteen and 25 patients had Grade 3 or 4 neutropenia and thrombocytopenia, respectively, at the time of death.</w:t>
      </w:r>
    </w:p>
    <w:p>
      <w:pPr>
        <w:spacing w:after="0" w:line="182" w:lineRule="exact"/>
        <w:rPr>
          <w:sz w:val="20"/>
          <w:szCs w:val="20"/>
          <w:color w:val="auto"/>
        </w:rPr>
      </w:pPr>
    </w:p>
    <w:p>
      <w:pPr>
        <w:ind w:right="640"/>
        <w:spacing w:after="0" w:line="210" w:lineRule="auto"/>
        <w:rPr>
          <w:sz w:val="20"/>
          <w:szCs w:val="20"/>
          <w:color w:val="auto"/>
        </w:rPr>
      </w:pPr>
      <w:r>
        <w:rPr>
          <w:rFonts w:ascii="Times New Roman" w:cs="Times New Roman" w:eastAsia="Times New Roman" w:hAnsi="Times New Roman"/>
          <w:sz w:val="22"/>
          <w:szCs w:val="22"/>
          <w:color w:val="auto"/>
        </w:rPr>
        <w:t>Monitor blood counts prior to and after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Manage cytopenias with growth factors and blood product transfusion support according to local institutional guidelines.</w:t>
      </w:r>
    </w:p>
    <w:p>
      <w:pPr>
        <w:spacing w:after="0" w:line="18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b w:val="1"/>
          <w:bCs w:val="1"/>
          <w:color w:val="auto"/>
        </w:rPr>
        <w:t>INFECTIONS</w:t>
      </w:r>
      <w:r>
        <w:rPr>
          <w:rFonts w:ascii="Times New Roman" w:cs="Times New Roman" w:eastAsia="Times New Roman" w:hAnsi="Times New Roman"/>
          <w:sz w:val="22"/>
          <w:szCs w:val="22"/>
          <w:color w:val="auto"/>
        </w:rPr>
        <w:t>: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not be administered to patients with active infection or inflammatory disorders. Severe,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life-threatening, or fatal infections, occurred in patients after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w:t>
      </w:r>
    </w:p>
    <w:p>
      <w:pPr>
        <w:sectPr>
          <w:pgSz w:w="11900" w:h="16968" w:orient="portrait"/>
          <w:cols w:equalWidth="0" w:num="1">
            <w:col w:w="11240"/>
          </w:cols>
          <w:pgMar w:left="320" w:top="111" w:right="339" w:bottom="0" w:gutter="0" w:footer="0" w:header="0"/>
        </w:sectPr>
      </w:pPr>
    </w:p>
    <w:bookmarkStart w:id="7" w:name="page8"/>
    <w:bookmarkEnd w:id="7"/>
    <w:p>
      <w:pPr>
        <w:ind w:right="140"/>
        <w:spacing w:after="0" w:line="221"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the CARTITUDE-1 &amp; 4 studies, infections occurred in 57% (163/285), including ≥Grade 3 in 24% (69/285) of patients. Grade 3 or 4 infections with an unspecified pathogen occurred in 12%, viral infections in 6%, bacterial infections in 5%, and fungal infections in 1% of patients. Overall, 5% (13/285) of patients had Grade 5 infections,</w:t>
      </w:r>
    </w:p>
    <w:p>
      <w:pPr>
        <w:spacing w:after="0" w:line="2" w:lineRule="exact"/>
        <w:rPr>
          <w:sz w:val="20"/>
          <w:szCs w:val="20"/>
          <w:color w:val="auto"/>
        </w:rPr>
      </w:pPr>
    </w:p>
    <w:p>
      <w:pPr>
        <w:ind w:right="200"/>
        <w:spacing w:after="0" w:line="201" w:lineRule="auto"/>
        <w:rPr>
          <w:sz w:val="20"/>
          <w:szCs w:val="20"/>
          <w:color w:val="auto"/>
        </w:rPr>
      </w:pPr>
      <w:r>
        <w:rPr>
          <w:rFonts w:ascii="Times New Roman" w:cs="Times New Roman" w:eastAsia="Times New Roman" w:hAnsi="Times New Roman"/>
          <w:sz w:val="22"/>
          <w:szCs w:val="22"/>
          <w:color w:val="auto"/>
        </w:rPr>
        <w:t>2.5% of which were due to COVID-19. Patients treated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had an increased rate of fatal COVID-19 infections compared to the standard therapy arm.</w:t>
      </w:r>
    </w:p>
    <w:p>
      <w:pPr>
        <w:spacing w:after="0" w:line="183"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1"/>
          <w:szCs w:val="21"/>
          <w:color w:val="auto"/>
        </w:rPr>
        <w:t>Monitor patients for signs and symptoms of infection before and after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infusion and treat patients appropriately. Administer prophylactic, pre-emptive, and/or therapeutic antimicrobials according to the standard institutional guidelines. Febrile</w:t>
      </w:r>
    </w:p>
    <w:p>
      <w:pPr>
        <w:ind w:right="20"/>
        <w:spacing w:after="0" w:line="214" w:lineRule="auto"/>
        <w:rPr>
          <w:sz w:val="20"/>
          <w:szCs w:val="20"/>
          <w:color w:val="auto"/>
        </w:rPr>
      </w:pPr>
      <w:r>
        <w:rPr>
          <w:rFonts w:ascii="Times New Roman" w:cs="Times New Roman" w:eastAsia="Times New Roman" w:hAnsi="Times New Roman"/>
          <w:sz w:val="22"/>
          <w:szCs w:val="22"/>
          <w:color w:val="auto"/>
        </w:rPr>
        <w:t>neutropenia was observed in 5% of patients after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and may be concurrent with CRS. In the event of febrile neutropenia, evaluate for infection and manage with broad-spectrum antibiotics, fluids, and other supportive care, as medically indicated. Counsel patients on the importance of prevention measures. Follow institutional guidelines for the vaccination and management of immunocompromised patients with COVID-19.</w:t>
      </w:r>
    </w:p>
    <w:p>
      <w:pPr>
        <w:spacing w:after="0" w:line="17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u w:val="single" w:color="auto"/>
          <w:color w:val="auto"/>
        </w:rPr>
        <w:t>Viral Reactivation</w:t>
      </w:r>
      <w:r>
        <w:rPr>
          <w:rFonts w:ascii="Times New Roman" w:cs="Times New Roman" w:eastAsia="Times New Roman" w:hAnsi="Times New Roman"/>
          <w:sz w:val="22"/>
          <w:szCs w:val="22"/>
          <w:color w:val="auto"/>
        </w:rPr>
        <w:t>: Hepatitis B virus (HBV) reactivation, in some cases resulting in fulminant hepatitis, hepatic failure, and death, can occur in patients with hypogammaglobulinemia. Perform screening for Cytomegalovirus (CMV), HBV, hepatitis C virus (HCV), human immunodeficiency virus (HIV), or any other infectious agents if clinically indicated in accordance with clinical guidelines before collection of cells for manufacturing. Consider antiviral therapy to prevent viral reactivation per local institutional guidelines/clinical practice.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HYPOGAMMAGLOBULINEMIA: </w:t>
      </w:r>
      <w:r>
        <w:rPr>
          <w:rFonts w:ascii="Times New Roman" w:cs="Times New Roman" w:eastAsia="Times New Roman" w:hAnsi="Times New Roman"/>
          <w:sz w:val="21"/>
          <w:szCs w:val="21"/>
          <w:color w:val="auto"/>
        </w:rPr>
        <w:t>can occur in patients receiving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Among patients receiving</w:t>
      </w:r>
    </w:p>
    <w:p>
      <w:pPr>
        <w:ind w:right="400"/>
        <w:spacing w:after="0" w:line="201"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 the CARTITUDE-1 &amp; 4 studies, hypogammaglobulinemia adverse event was reported in 36% (102/285) of patients; laboratory IgG levels fell below 500mg/dl after infusion in 93% (265/285) of patients.</w:t>
      </w:r>
    </w:p>
    <w:p>
      <w:pPr>
        <w:spacing w:after="0" w:line="17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Hypogammaglobulinemia either as an adverse reaction or laboratory IgG level below 500mg/dl, after infusion occurred in 94% (267/285) of patients treated. Fifty-six percent (161/285) of patients received intravenous immunoglobulin (IVIG) post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for either an adverse reaction or prophylaxis.</w:t>
      </w:r>
    </w:p>
    <w:p>
      <w:pPr>
        <w:spacing w:after="0" w:line="87"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22"/>
          <w:szCs w:val="22"/>
          <w:color w:val="auto"/>
        </w:rPr>
        <w:t>Monitor immunoglobulin levels after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and administer IVIG for IgG &lt;400 mg/dL. Manage per local institutional guidelines, including infection precautions and antibiotic or antiviral prophylaxis.</w:t>
      </w:r>
    </w:p>
    <w:p>
      <w:pPr>
        <w:spacing w:after="0" w:line="18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21"/>
          <w:szCs w:val="21"/>
          <w:u w:val="single" w:color="auto"/>
          <w:color w:val="auto"/>
        </w:rPr>
        <w:t>Use of Live Vaccines</w:t>
      </w:r>
      <w:r>
        <w:rPr>
          <w:rFonts w:ascii="Times New Roman" w:cs="Times New Roman" w:eastAsia="Times New Roman" w:hAnsi="Times New Roman"/>
          <w:sz w:val="21"/>
          <w:szCs w:val="21"/>
          <w:color w:val="auto"/>
        </w:rPr>
        <w:t xml:space="preserve">: The safety of immunization with live viral vaccines during or following CARVYKTI </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treatment has not been studied. Vaccination with live virus vaccines is not recommended for at least 6 weeks prior to the start of lymphodepleting</w:t>
      </w:r>
    </w:p>
    <w:p>
      <w:pPr>
        <w:spacing w:after="0"/>
        <w:rPr>
          <w:sz w:val="20"/>
          <w:szCs w:val="20"/>
          <w:color w:val="auto"/>
        </w:rPr>
      </w:pPr>
      <w:r>
        <w:rPr>
          <w:rFonts w:ascii="Times New Roman" w:cs="Times New Roman" w:eastAsia="Times New Roman" w:hAnsi="Times New Roman"/>
          <w:sz w:val="22"/>
          <w:szCs w:val="22"/>
          <w:color w:val="auto"/>
        </w:rPr>
        <w:t>chemotherapy, during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treatment, and until immune recovery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w:t>
      </w:r>
    </w:p>
    <w:p>
      <w:pPr>
        <w:spacing w:after="0" w:line="87" w:lineRule="exact"/>
        <w:rPr>
          <w:sz w:val="20"/>
          <w:szCs w:val="20"/>
          <w:color w:val="auto"/>
        </w:rPr>
      </w:pPr>
    </w:p>
    <w:p>
      <w:pPr>
        <w:ind w:right="80"/>
        <w:spacing w:after="0" w:line="188" w:lineRule="auto"/>
        <w:rPr>
          <w:sz w:val="20"/>
          <w:szCs w:val="20"/>
          <w:color w:val="auto"/>
        </w:rPr>
      </w:pPr>
      <w:r>
        <w:rPr>
          <w:rFonts w:ascii="Times New Roman" w:cs="Times New Roman" w:eastAsia="Times New Roman" w:hAnsi="Times New Roman"/>
          <w:sz w:val="21"/>
          <w:szCs w:val="21"/>
          <w:b w:val="1"/>
          <w:bCs w:val="1"/>
          <w:color w:val="auto"/>
        </w:rPr>
        <w:t xml:space="preserve">HYPERSENSITIVITY REACTIONS </w:t>
      </w:r>
      <w:r>
        <w:rPr>
          <w:rFonts w:ascii="Times New Roman" w:cs="Times New Roman" w:eastAsia="Times New Roman" w:hAnsi="Times New Roman"/>
          <w:sz w:val="21"/>
          <w:szCs w:val="21"/>
          <w:color w:val="auto"/>
        </w:rPr>
        <w:t>occurred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Among patients receiving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the CARTITUDE-1 &amp; 4 studies, hypersensitivity reactions occurred in 5% (13/285), all of which were ≤ Grade</w:t>
      </w:r>
    </w:p>
    <w:p>
      <w:pPr>
        <w:ind w:right="600" w:firstLine="8"/>
        <w:spacing w:after="0" w:line="237" w:lineRule="auto"/>
        <w:tabs>
          <w:tab w:leader="none" w:pos="2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Manifestations of hypersensitivity reactions included flushing, chest discomfort, tachycardia, wheezing, tremor, burning sensation, non-cardiac chest pain, and pyrexia.</w:t>
      </w:r>
    </w:p>
    <w:p>
      <w:pPr>
        <w:spacing w:after="0" w:line="183"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22"/>
          <w:szCs w:val="22"/>
          <w:color w:val="auto"/>
        </w:rPr>
        <w:t>Serious hypersensitivity reactions, including anaphylaxis, may be due to the dimethyl sulfoxide (DMSO) in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Patients should be carefully monitored for 2 hours after infusion for signs and symptoms of severe reaction. Treat promptly and manage patients appropriately according to the severity of the hypersensitivity reaction.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SECONDARY MALIGNANCIES: </w:t>
      </w:r>
      <w:r>
        <w:rPr>
          <w:rFonts w:ascii="Times New Roman" w:cs="Times New Roman" w:eastAsia="Times New Roman" w:hAnsi="Times New Roman"/>
          <w:sz w:val="21"/>
          <w:szCs w:val="21"/>
          <w:color w:val="auto"/>
        </w:rPr>
        <w:t>Patients treated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develop secondary malignancies. Among patients</w:t>
      </w:r>
    </w:p>
    <w:p>
      <w:pPr>
        <w:ind w:right="180"/>
        <w:spacing w:after="0" w:line="215" w:lineRule="auto"/>
        <w:rPr>
          <w:sz w:val="20"/>
          <w:szCs w:val="20"/>
          <w:color w:val="auto"/>
        </w:rPr>
      </w:pPr>
      <w:r>
        <w:rPr>
          <w:rFonts w:ascii="Times New Roman" w:cs="Times New Roman" w:eastAsia="Times New Roman" w:hAnsi="Times New Roman"/>
          <w:sz w:val="21"/>
          <w:szCs w:val="21"/>
          <w:color w:val="auto"/>
        </w:rPr>
        <w:t>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in the CARTITUDE-1 &amp; 4 studies, myeloid neoplasms occurred in 5% (13/285) of patients (9 cases of myelodysplastic syndrome, 3 cases of acute myeloid leukemia, and 1 case of myelodysplastic syndrome followed by acute myeloid leukemia). The median time to onset of myeloid neoplasms was 447 days (range: 56 to 870 days) after treatment with</w:t>
      </w:r>
    </w:p>
    <w:p>
      <w:pPr>
        <w:ind w:right="160"/>
        <w:spacing w:after="0" w:line="220"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Ten of these 13 patients died following the development of myeloid neoplasms; 2 of the 13 cases of myeloid neoplasm occurred after initiation of subsequent antimyeloma therapy. Cases of myelodysplastic syndrome and acute myeloid leukemia have also been reported in the post-marketing setting. T-cell malignancies have occurred following treatment of hematologic malignancies with BCMA- and CD19-directed genetically modified autologous T-cell immunotherapies, including</w:t>
      </w:r>
    </w:p>
    <w:p>
      <w:pPr>
        <w:spacing w:after="0" w:line="4" w:lineRule="exact"/>
        <w:rPr>
          <w:sz w:val="20"/>
          <w:szCs w:val="20"/>
          <w:color w:val="auto"/>
        </w:rPr>
      </w:pPr>
    </w:p>
    <w:p>
      <w:pPr>
        <w:ind w:right="220"/>
        <w:spacing w:after="0" w:line="201"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Mature T-cell malignancies, including CAR-positive tumors, may present as soon as weeks following infusions and may include fatal outcomes.</w:t>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Monitor life-long for secondary malignancies. In the event that a secondary malignancy occurs, contact Janssen Biotech, Inc. at 1-800-526-7736 for reporting and to obtain instructions on collection of patient samples.</w:t>
      </w:r>
    </w:p>
    <w:p>
      <w:pPr>
        <w:spacing w:after="0" w:line="154"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EFFECTS ON ABILITY TO DRIVE AND USE MACHINES: </w:t>
      </w:r>
      <w:r>
        <w:rPr>
          <w:rFonts w:ascii="Times New Roman" w:cs="Times New Roman" w:eastAsia="Times New Roman" w:hAnsi="Times New Roman"/>
          <w:sz w:val="21"/>
          <w:szCs w:val="21"/>
          <w:color w:val="auto"/>
        </w:rPr>
        <w:t>Due to the potential for neurologic events, including altered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mental status, seizures, neurocognitive decline, or neuropathy, patients receiving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color w:val="auto"/>
        </w:rPr>
        <w:t xml:space="preserve"> are at risk for altered or</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2"/>
          <w:szCs w:val="22"/>
          <w:color w:val="auto"/>
        </w:rPr>
        <w:t>decreased consciousness or coordination in the 8 weeks following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color w:val="auto"/>
        </w:rPr>
        <w:t xml:space="preserve"> infusion. Advise patients to refrain from driving and engaging in hazardous occupations or activities, such as operating heavy or potentially dangerous machinery during this initial period, and in the event of new onset of any neurologic toxicities.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ADVERSE REACTIONS</w:t>
      </w:r>
    </w:p>
    <w:p>
      <w:pPr>
        <w:sectPr>
          <w:pgSz w:w="11900" w:h="16838" w:orient="portrait"/>
          <w:cols w:equalWidth="0" w:num="1">
            <w:col w:w="11200"/>
          </w:cols>
          <w:pgMar w:left="320" w:top="117" w:right="379" w:bottom="0" w:gutter="0" w:footer="0" w:header="0"/>
        </w:sectPr>
      </w:pPr>
    </w:p>
    <w:bookmarkStart w:id="8" w:name="page9"/>
    <w:bookmarkEnd w:id="8"/>
    <w:p>
      <w:pPr>
        <w:spacing w:after="0" w:line="8"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most common nonlaboratory adverse reactions (incidence greater than 20%) are pyrexia, cytokine release syndrome, hypogammaglobulinemia, hypotension, musculoskeletal pain, fatigue, infections-pathogen unspecified, cough, chills, diarrhea, nausea, encephalopathy, decreased appetite, upper respiratory tract infection, headache, tachycardia, dizziness, dyspnea, edema, viral infections, coagulopathy, constipation, and vomiting. The most common Grade 3 or 4 laboratory adverse reactions (incidence greater than or equal to 50%) include lymphopenia, neutropenia, white blood cell decreased, thrombocytopenia, and anemia.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read full Prescribing Information, including Boxed Warning, for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(CILTACABTAGENE AUTOLEUCEL; CILTA-CEL)</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Ciltacabtagene autoleucel is a BCMA-directed, genetically modified autologous T-cell immunotherapy, which involves reprogramming a patient’s own T-cells with a transgene encoding a chimeric antigen receptor (CAR) that identifies and eliminates cells that express BCMA. The cilta-cel CAR protein features two BCMA-targeting single domain antibodies designed to confer high avidity against human BCMA. Upon binding to BCMA-expressing cells, the CAR promotes T-cell activation,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expansion, and elimination of target cells.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December 2017, Legend Biotech entered into an exclusive worldwide license and collaboration agreement with Janssen Biotech, Inc. (Janssen), a Johnson &amp; Johnson company, to develop and commercialize cilta-cel. In February 2022, cilta-cel was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approved by the U.S. Food and Drug Administration (FDA) under the brand name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or refractory multiple myeloma. In April 2024, cilta-cel was approved for the second-line treatment of patients with relapsed/refractory myeloma who have received at least one prior line of therapy including a proteasome inhibitor, an immunomodulatory agent, and are refractory to lenalidomide.</w:t>
      </w:r>
    </w:p>
    <w:p>
      <w:pPr>
        <w:spacing w:after="0" w:line="186"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2"/>
          <w:szCs w:val="22"/>
          <w:color w:val="auto"/>
        </w:rPr>
        <w:t>In May 2022, the European Commission (EC) granted conditional marketing authorization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and refractory multiple myeloma. In September 2022, Japan’s Ministry of Health, Labour and Welfare</w:t>
      </w:r>
    </w:p>
    <w:p>
      <w:pPr>
        <w:jc w:val="both"/>
        <w:spacing w:after="0" w:line="220" w:lineRule="auto"/>
        <w:rPr>
          <w:sz w:val="20"/>
          <w:szCs w:val="20"/>
          <w:color w:val="auto"/>
        </w:rPr>
      </w:pPr>
      <w:r>
        <w:rPr>
          <w:rFonts w:ascii="Times New Roman" w:cs="Times New Roman" w:eastAsia="Times New Roman" w:hAnsi="Times New Roman"/>
          <w:sz w:val="22"/>
          <w:szCs w:val="22"/>
          <w:color w:val="auto"/>
        </w:rPr>
        <w:t>(MHLW) approved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Cilta-cel was granted Breakthrough Therapy Designation in the U.S. in December 2019 and in China in August 2020. In addition, cilta-cel received a PRIority MEdicines (PRIME) designation from the European Commission in April 2019. Cilta-cel also received Orphan Drug Designation from the U.S. FDA in February 2019, from the European Commission in February 2020, and from the Pharmaceuticals and Medicinal Devices Agency (PMDA) in Japan in June 2020. In March 2022, the European Medicines Agency’s Committee for Orphan Medicinal Products recommended by consensus that the orphan designation for cilta-cel be maintained on the basis of clinical data demonstrating improved and sustained complete response rates following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CARTITUDE-4</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CARTITUDE-4 (NCT04181827) is an ongoing, international, randomized, open-label Phase 3 study evaluating the efficacy and safety of cilta-cel versus pomalidomide, bortezomib and dexamethasone (PVd) or daratumumab, pomalidomide and dexamethasone (DPd) in adult patients with relapsed and lenalidomide-refractory multiple myeloma who received one to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 lines of therapy, including a PI and an IMiD.</w:t>
      </w:r>
      <w:r>
        <w:rPr>
          <w:rFonts w:ascii="Times New Roman" w:cs="Times New Roman" w:eastAsia="Times New Roman" w:hAnsi="Times New Roman"/>
          <w:sz w:val="35"/>
          <w:szCs w:val="35"/>
          <w:color w:val="auto"/>
          <w:vertAlign w:val="superscript"/>
        </w:rPr>
        <w:t>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MULTIPLE MYELOMA</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Multiple myeloma is an incurable blood cancer that starts in the bone marrow and is characterized by an excessive proliferation of plasma cells.</w:t>
      </w: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In 2024, it is estimated that more than 35,000 people will be diagnosed with multiple myeloma, and more than</w:t>
      </w:r>
    </w:p>
    <w:p>
      <w:pPr>
        <w:spacing w:after="0" w:line="3"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12,000 people will die from the disease in the U.S.</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While some patients with multiple myeloma initially have no symptoms, most patients are diagnosed due to symptoms that can include bone problems, low blood counts, calcium elevation, kidney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problems or infections.</w:t>
      </w:r>
      <w:r>
        <w:rPr>
          <w:rFonts w:ascii="Times New Roman" w:cs="Times New Roman" w:eastAsia="Times New Roman" w:hAnsi="Times New Roman"/>
          <w:sz w:val="35"/>
          <w:szCs w:val="35"/>
          <w:color w:val="auto"/>
          <w:vertAlign w:val="superscript"/>
        </w:rPr>
        <w:t>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LEGEND BIOTECH</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Legend Biotech is a global biotechnology company dedicated to treating, and one day curing, life-threatening diseases. Headquartered in Somerset, New Jersey, we are developing advanced cell therapies across a diverse array of technology platforms, including autologous and allogeneic chimeric antigen receptor T-cell, gamma-delta T cell (gd T) and natural killer (NK) cell-based immunotherapy. From our three R&amp;D sites around the world, we apply these innovative technologies to pursue the discovery of cutting-edge therapeutics for patients worldwide.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Learn more at www.legendbiotech.com and follow us on X (formerly Twitter) and LinkedIn.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w:t>
      </w:r>
    </w:p>
    <w:p>
      <w:pPr>
        <w:sectPr>
          <w:pgSz w:w="11900" w:h="16847" w:orient="portrait"/>
          <w:cols w:equalWidth="0" w:num="1">
            <w:col w:w="11240"/>
          </w:cols>
          <w:pgMar w:left="320" w:top="111" w:right="339" w:bottom="0" w:gutter="0" w:footer="0" w:header="0"/>
        </w:sectPr>
      </w:pP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i w:val="1"/>
          <w:iCs w:val="1"/>
          <w:color w:val="auto"/>
        </w:rPr>
        <w:t>objectives; statements relating to CARVYKTI</w:t>
      </w:r>
      <w:r>
        <w:rPr>
          <w:rFonts w:ascii="Times New Roman" w:cs="Times New Roman" w:eastAsia="Times New Roman" w:hAnsi="Times New Roman"/>
          <w:sz w:val="35"/>
          <w:szCs w:val="35"/>
          <w:i w:val="1"/>
          <w:iCs w:val="1"/>
          <w:color w:val="auto"/>
          <w:vertAlign w:val="superscript"/>
        </w:rPr>
        <w:t>®</w:t>
      </w:r>
      <w:r>
        <w:rPr>
          <w:rFonts w:ascii="Times New Roman" w:cs="Times New Roman" w:eastAsia="Times New Roman" w:hAnsi="Times New Roman"/>
          <w:sz w:val="22"/>
          <w:szCs w:val="22"/>
          <w:i w:val="1"/>
          <w:iCs w:val="1"/>
          <w:color w:val="auto"/>
        </w:rPr>
        <w:t>, including Legend Biotech’s expectations for CARVYKTI</w:t>
      </w:r>
      <w:r>
        <w:rPr>
          <w:rFonts w:ascii="Times New Roman" w:cs="Times New Roman" w:eastAsia="Times New Roman" w:hAnsi="Times New Roman"/>
          <w:sz w:val="35"/>
          <w:szCs w:val="35"/>
          <w:i w:val="1"/>
          <w:iCs w:val="1"/>
          <w:color w:val="auto"/>
          <w:vertAlign w:val="superscript"/>
        </w:rPr>
        <w:t>®</w:t>
      </w:r>
      <w:r>
        <w:rPr>
          <w:rFonts w:ascii="Times New Roman" w:cs="Times New Roman" w:eastAsia="Times New Roman" w:hAnsi="Times New Roman"/>
          <w:sz w:val="22"/>
          <w:szCs w:val="22"/>
          <w:i w:val="1"/>
          <w:iCs w:val="1"/>
          <w:color w:val="auto"/>
        </w:rPr>
        <w:t xml:space="preserve"> and its therapeutic potential; statements related to the potential results from ongoing studies in the CARTITUDE clinical development program; and the potential benefits of Legend Biotech’s product candidates. The words “anticipate,” “believe,” “continue,” “could,”</w:t>
      </w:r>
    </w:p>
    <w:p>
      <w:pPr>
        <w:sectPr>
          <w:pgSz w:w="11900" w:h="16847" w:orient="portrait"/>
          <w:cols w:equalWidth="0" w:num="1">
            <w:col w:w="11240"/>
          </w:cols>
          <w:pgMar w:left="320" w:top="111" w:right="339" w:bottom="0" w:gutter="0" w:footer="0" w:header="0"/>
          <w:type w:val="continuous"/>
        </w:sectPr>
      </w:pPr>
    </w:p>
    <w:bookmarkStart w:id="9" w:name="page10"/>
    <w:bookmarkEnd w:id="9"/>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19, 2024.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Jessie Yeung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(732) 956-8271</w:t>
      </w:r>
    </w:p>
    <w:p>
      <w:pPr>
        <w:spacing w:after="0"/>
        <w:rPr>
          <w:sz w:val="20"/>
          <w:szCs w:val="20"/>
          <w:color w:val="auto"/>
        </w:rPr>
      </w:pPr>
      <w:r>
        <w:rPr>
          <w:rFonts w:ascii="Times New Roman" w:cs="Times New Roman" w:eastAsia="Times New Roman" w:hAnsi="Times New Roman"/>
          <w:sz w:val="22"/>
          <w:szCs w:val="22"/>
          <w:color w:val="auto"/>
        </w:rPr>
        <w:t>jessie.yeung@legendbiotech.com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MaryAnn Ondish</w:t>
      </w:r>
    </w:p>
    <w:p>
      <w:pPr>
        <w:spacing w:after="0" w:line="230" w:lineRule="auto"/>
        <w:rPr>
          <w:sz w:val="20"/>
          <w:szCs w:val="20"/>
          <w:color w:val="auto"/>
        </w:rPr>
      </w:pPr>
      <w:r>
        <w:rPr>
          <w:rFonts w:ascii="Times New Roman" w:cs="Times New Roman" w:eastAsia="Times New Roman" w:hAnsi="Times New Roman"/>
          <w:sz w:val="22"/>
          <w:szCs w:val="22"/>
          <w:color w:val="auto"/>
        </w:rPr>
        <w:t>Tel: (914) 552-4625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media@legendbiotech.com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REFERENCES</w:t>
      </w:r>
    </w:p>
    <w:p>
      <w:pPr>
        <w:spacing w:after="0" w:line="122"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CARVYKTI™ Prescribing Information. Horsham, PA: Janssen Biotech, Inc.</w:t>
      </w:r>
    </w:p>
    <w:p>
      <w:pPr>
        <w:spacing w:after="0" w:line="25" w:lineRule="exact"/>
        <w:rPr>
          <w:sz w:val="20"/>
          <w:szCs w:val="20"/>
          <w:color w:val="auto"/>
        </w:rPr>
      </w:pPr>
    </w:p>
    <w:p>
      <w:pPr>
        <w:ind w:right="260" w:firstLine="8"/>
        <w:spacing w:after="0" w:line="204" w:lineRule="auto"/>
        <w:tabs>
          <w:tab w:leader="none" w:pos="14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 xml:space="preserve">ClinicalTrials.Gov. A Study Comparing JNJ-68284528, a CAR-T Therapy Directed Against B-cell Maturation Antigen (BCMA), Versus Pomalidomide, Bortezomib and Dexamethasone (PVd) or Daratumumab, Pomalidomide and Dexamethasone (DPd) in Participants With Relapsed and Lenalidomide-Refractory Multiple Myeloma (CARTITUDE-4). </w:t>
      </w:r>
      <w:r>
        <w:rPr>
          <w:rFonts w:ascii="Times New Roman" w:cs="Times New Roman" w:eastAsia="Times New Roman" w:hAnsi="Times New Roman"/>
          <w:sz w:val="22"/>
          <w:szCs w:val="22"/>
          <w:u w:val="single" w:color="auto"/>
          <w:color w:val="auto"/>
        </w:rPr>
        <w:t>https://www.clinicaltrials.gov/study/NCT04181827</w:t>
      </w:r>
      <w:r>
        <w:rPr>
          <w:rFonts w:ascii="Times New Roman" w:cs="Times New Roman" w:eastAsia="Times New Roman" w:hAnsi="Times New Roman"/>
          <w:sz w:val="22"/>
          <w:szCs w:val="22"/>
          <w:color w:val="auto"/>
        </w:rPr>
        <w:t>. Accessed March 2024.</w:t>
      </w:r>
    </w:p>
    <w:p>
      <w:pPr>
        <w:spacing w:after="0" w:line="29" w:lineRule="exact"/>
        <w:rPr>
          <w:sz w:val="20"/>
          <w:szCs w:val="20"/>
          <w:color w:val="auto"/>
        </w:rPr>
      </w:pPr>
    </w:p>
    <w:p>
      <w:pPr>
        <w:ind w:right="900" w:firstLine="8"/>
        <w:spacing w:after="0" w:line="191" w:lineRule="auto"/>
        <w:tabs>
          <w:tab w:leader="none" w:pos="144" w:val="left"/>
        </w:tabs>
        <w:numPr>
          <w:ilvl w:val="0"/>
          <w:numId w:val="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”What is Multiple Myeloma?”. Available at: https://www.cancer.org/cancer/types/multiple-myeloma/about/what-is-multiple-myeloma.html. Accessed March 2024.</w:t>
      </w:r>
    </w:p>
    <w:p>
      <w:pPr>
        <w:spacing w:after="0" w:line="28" w:lineRule="exact"/>
        <w:rPr>
          <w:sz w:val="20"/>
          <w:szCs w:val="20"/>
          <w:color w:val="auto"/>
        </w:rPr>
      </w:pPr>
    </w:p>
    <w:p>
      <w:pPr>
        <w:ind w:right="2240" w:firstLine="8"/>
        <w:spacing w:after="0" w:line="191" w:lineRule="auto"/>
        <w:tabs>
          <w:tab w:leader="none" w:pos="144" w:val="left"/>
        </w:tabs>
        <w:numPr>
          <w:ilvl w:val="0"/>
          <w:numId w:val="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“Key Statistics About Multiple Myeloma.” Available at: https://www.cancer.org/cancer/types/multiple-myeloma/about/key-statistics.html. Accessed March 2024</w:t>
      </w:r>
    </w:p>
    <w:p>
      <w:pPr>
        <w:spacing w:after="0" w:line="28" w:lineRule="exact"/>
        <w:rPr>
          <w:sz w:val="20"/>
          <w:szCs w:val="20"/>
          <w:color w:val="auto"/>
        </w:rPr>
      </w:pPr>
    </w:p>
    <w:p>
      <w:pPr>
        <w:ind w:right="2560" w:firstLine="8"/>
        <w:spacing w:after="0" w:line="189" w:lineRule="auto"/>
        <w:tabs>
          <w:tab w:leader="none" w:pos="144"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American Cancer Society. Multiple myeloma: early detection, diagnosis, and staging. Available at: https://www.cancer.org/content/dam/CRC/PDF/Public/8740.00.pdf. Accessed March 2023.</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0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2024-11-05T08:16:46Z</dcterms:created>
  <dcterms:modified xsi:type="dcterms:W3CDTF">2024-11-05T08:16:46Z</dcterms:modified>
</cp:coreProperties>
</file>