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  <w:bookmarkStart w:id="0" w:name="a53399497.htm"/>
      <w:bookmarkStart w:id="1" w:name="ksa53399497"/>
      <w:bookmarkStart w:id="2" w:name="a53399497.htm"/>
      <w:bookmarkStart w:id="3" w:name="ksa53399497"/>
      <w:bookmarkEnd w:id="2"/>
      <w:bookmarkEnd w:id="3"/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99b4a7ba85e94d179d84a5c05aee08b5"/>
      <w:bookmarkStart w:id="5" w:name="z99b4a7ba85e94d179d84a5c05aee08b5"/>
      <w:bookmarkEnd w:id="5"/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>
              <w:bottom w:val="doub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UNITED STATES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  <w:sz w:val="32"/>
        </w:rPr>
        <w:t>SECURITIES AND EXCHANGE COMMISSION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9a543d21e9a54c749f436edc3f5be882"/>
      <w:bookmarkStart w:id="7" w:name="z9a543d21e9a54c749f436edc3f5be882"/>
      <w:bookmarkEnd w:id="7"/>
    </w:p>
    <w:tbl>
      <w:tblPr>
        <w:tblW w:w="446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4465"/>
      </w:tblGrid>
      <w:tr>
        <w:trPr/>
        <w:tc>
          <w:tcPr>
            <w:tcW w:w="446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ind w:left="4375" w:right="4375" w:hanging="0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  <w:r>
        <w:rPr>
          <w:rFonts w:ascii="Times New Roman" w:hAnsi="Times New Roman"/>
          <w:b/>
          <w:sz w:val="32"/>
        </w:rPr>
        <w:t>FORM 6-K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3a5cbcc3cd95469fa572c672f5c32f43"/>
      <w:bookmarkStart w:id="9" w:name="z3a5cbcc3cd95469fa572c672f5c32f43"/>
      <w:bookmarkEnd w:id="9"/>
    </w:p>
    <w:tbl>
      <w:tblPr>
        <w:tblW w:w="446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4465"/>
      </w:tblGrid>
      <w:tr>
        <w:trPr/>
        <w:tc>
          <w:tcPr>
            <w:tcW w:w="446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ind w:left="4375" w:right="4375" w:hanging="0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Report of Foreign Private Issuer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Pursuant to Rule 13a-16 or 15d-16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of the Securities 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Date of Report: May 12, 2023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  <w:r>
        <w:rPr>
          <w:rFonts w:ascii="Times New Roman" w:hAnsi="Times New Roman"/>
          <w:b/>
        </w:rPr>
        <w:t>Commission File Number: 001-39307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zb42fbc98346f48caa438bc72d5d2b8a5"/>
      <w:bookmarkStart w:id="11" w:name="zb42fbc98346f48caa438bc72d5d2b8a5"/>
      <w:bookmarkEnd w:id="11"/>
    </w:p>
    <w:tbl>
      <w:tblPr>
        <w:tblW w:w="446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4465"/>
      </w:tblGrid>
      <w:tr>
        <w:trPr/>
        <w:tc>
          <w:tcPr>
            <w:tcW w:w="446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ind w:left="4375" w:right="4375" w:hanging="0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  <w:r>
        <w:rPr>
          <w:rFonts w:ascii="Times New Roman" w:hAnsi="Times New Roman"/>
          <w:b/>
          <w:sz w:val="32"/>
        </w:rPr>
        <w:t>Legend Biotech Corporation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(Exact 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z6613a53bd01449fb9ef409077556b019"/>
      <w:bookmarkStart w:id="13" w:name="z6613a53bd01449fb9ef409077556b019"/>
      <w:bookmarkEnd w:id="13"/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2101 Cottontail Lane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Somerset, New Jersey 08873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  <w:r>
        <w:rPr>
          <w:rFonts w:ascii="Times New Roman" w:hAnsi="Times New Roman"/>
          <w:b/>
        </w:rPr>
        <w:t>(Address of principal executive office)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za7d795b42cac43d888bca9043ccd02a3"/>
      <w:bookmarkStart w:id="15" w:name="za7d795b42cac43d888bca9043ccd02a3"/>
      <w:bookmarkEnd w:id="15"/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Indicate by check mark whether the registrant files or will file annual reports under cover of Form 20-F or Form 40-F: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2700" w:right="0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Form 20-F ☒            Form 40-F  ☐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 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Indicate by check mark if the registrant is submitting the Form 6-K in paper as permitted by Regulation S-T Rule 101(b)(1):  ☐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Indicate by check mark if the registrant is submitting the Form 6-K in paper as permitted by Regulation S-T Rule 101(b)(7):  ☐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6" w:name="z4d42129d90294032be774c2eb40647a5"/>
      <w:bookmarkStart w:id="17" w:name="z4d42129d90294032be774c2eb40647a5"/>
      <w:bookmarkEnd w:id="17"/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>
              <w:bottom w:val="doub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200" w:after="200"/>
        <w:jc w:val="center"/>
        <w:rPr>
          <w:b w:val="false"/>
          <w:i w:val="false"/>
          <w:caps w:val="false"/>
          <w:smallCaps w:val="false"/>
        </w:rPr>
      </w:pPr>
      <w:r>
        <w:rPr>
          <w:b w:val="false"/>
          <w:i w:val="false"/>
          <w:caps w:val="false"/>
          <w:smallCaps w:val="false"/>
        </w:rPr>
        <w:t>1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Legend Biotech Corporation Reports Exercise of Warrant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  <w:t> </w:t>
      </w:r>
      <w:r>
        <w:rPr>
          <w:rFonts w:ascii="Times New Roman" w:hAnsi="Times New Roman"/>
        </w:rPr>
        <w:t>On May 12, 2023, Legend Biotech Corporation (the “</w:t>
      </w:r>
      <w:r>
        <w:rPr>
          <w:rFonts w:ascii="Times New Roman" w:hAnsi="Times New Roman"/>
          <w:b/>
        </w:rPr>
        <w:t>Company</w:t>
      </w:r>
      <w:r>
        <w:rPr>
          <w:rFonts w:ascii="Times New Roman" w:hAnsi="Times New Roman"/>
        </w:rPr>
        <w:t>”) announced that LGN Holdings Limited (the “</w:t>
      </w:r>
      <w:r>
        <w:rPr>
          <w:rFonts w:ascii="Times New Roman" w:hAnsi="Times New Roman"/>
          <w:b/>
        </w:rPr>
        <w:t>Warrant Holder</w:t>
      </w:r>
      <w:r>
        <w:rPr>
          <w:rFonts w:ascii="Times New Roman" w:hAnsi="Times New Roman"/>
        </w:rPr>
        <w:t>”) exercised in full its warrant (the “</w:t>
      </w:r>
      <w:r>
        <w:rPr>
          <w:rFonts w:ascii="Times New Roman" w:hAnsi="Times New Roman"/>
          <w:b/>
        </w:rPr>
        <w:t>Warrant</w:t>
      </w:r>
      <w:r>
        <w:rPr>
          <w:rFonts w:ascii="Times New Roman" w:hAnsi="Times New Roman"/>
        </w:rPr>
        <w:t>”) to purchase 10,000,000 ordinary shares, par value US$0.0001 per share of the Company, at an exercise price of US$20.00 per Ordinary Share for an aggregate exercise price of US$200,000,000, and, as a result, the Company issued the 10,000,000 Ordinary Shares to the Warrant Holder.</w:t>
      </w:r>
    </w:p>
    <w:p>
      <w:pPr>
        <w:pStyle w:val="TextBody"/>
        <w:bidi w:val="0"/>
        <w:spacing w:before="200" w:after="200"/>
        <w:jc w:val="center"/>
        <w:rPr>
          <w:b w:val="false"/>
          <w:i w:val="false"/>
          <w:caps w:val="false"/>
          <w:smallCaps w:val="false"/>
        </w:rPr>
      </w:pPr>
      <w:r>
        <w:rPr>
          <w:b w:val="false"/>
          <w:i w:val="false"/>
          <w:caps w:val="false"/>
          <w:smallCaps w:val="false"/>
        </w:rPr>
        <w:t>2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SIGNATURES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extBody"/>
        <w:bidi w:val="0"/>
        <w:spacing w:before="0" w:after="0"/>
        <w:ind w:left="0" w:right="0" w:firstLine="441"/>
        <w:jc w:val="left"/>
        <w:rPr/>
      </w:pPr>
      <w:r>
        <w:rPr/>
        <w:t> </w:t>
      </w:r>
      <w:r>
        <w:rPr>
          <w:rFonts w:ascii="Times New Roman" w:hAnsi="Times New Roman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z045dca72ff9c4d958f60c6e0bb00abb0"/>
      <w:bookmarkStart w:id="19" w:name="z045dca72ff9c4d958f60c6e0bb00abb0"/>
      <w:bookmarkEnd w:id="19"/>
    </w:p>
    <w:tbl>
      <w:tblPr>
        <w:tblW w:w="612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41"/>
        <w:gridCol w:w="962"/>
        <w:gridCol w:w="3218"/>
      </w:tblGrid>
      <w:tr>
        <w:trPr/>
        <w:tc>
          <w:tcPr>
            <w:tcW w:w="19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  <w:tc>
          <w:tcPr>
            <w:tcW w:w="418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36" w:hanging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LEGEND BIOTECH CORPORATION</w:t>
            </w:r>
          </w:p>
        </w:tc>
      </w:tr>
      <w:tr>
        <w:trPr/>
        <w:tc>
          <w:tcPr>
            <w:tcW w:w="19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  <w:tc>
          <w:tcPr>
            <w:tcW w:w="32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Date: May 12, 2023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By:</w:t>
            </w:r>
          </w:p>
        </w:tc>
        <w:tc>
          <w:tcPr>
            <w:tcW w:w="3218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/s/ Lori Macomber</w:t>
            </w:r>
          </w:p>
        </w:tc>
      </w:tr>
      <w:tr>
        <w:trPr/>
        <w:tc>
          <w:tcPr>
            <w:tcW w:w="19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Name:</w:t>
            </w:r>
          </w:p>
        </w:tc>
        <w:tc>
          <w:tcPr>
            <w:tcW w:w="3218" w:type="dxa"/>
            <w:tcBorders>
              <w:top w:val="single" w:sz="12" w:space="0" w:color="000000"/>
            </w:tcBorders>
            <w:tcMar>
              <w:top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Lori Macomber</w:t>
            </w:r>
          </w:p>
        </w:tc>
      </w:tr>
      <w:tr>
        <w:trPr/>
        <w:tc>
          <w:tcPr>
            <w:tcW w:w="19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/>
            </w:pPr>
            <w:r>
              <w:rPr/>
              <w:t> 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Title:</w:t>
            </w:r>
          </w:p>
        </w:tc>
        <w:tc>
          <w:tcPr>
            <w:tcW w:w="32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16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 w:val="false"/>
          <w:i w:val="false"/>
          <w:caps w:val="false"/>
          <w:smallCaps w:val="false"/>
        </w:rPr>
      </w:pPr>
      <w:r>
        <w:rPr>
          <w:b w:val="false"/>
          <w:i w:val="false"/>
          <w:caps w:val="false"/>
          <w:smallCaps w:val="false"/>
        </w:rPr>
        <w:t>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261</Words>
  <Characters>1376</Characters>
  <CharactersWithSpaces>1674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