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081003.xml.htm"/>
      <w:bookmarkStart w:id="1" w:name="ksform410012026_0810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Sanders Corazon (Corsee)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933"/>
        <w:gridCol w:w="457"/>
        <w:gridCol w:w="714"/>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27,370</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9.46</w:t>
            </w:r>
            <w:r>
              <w:rPr>
                <w:rFonts w:ascii="Times;serif" w:hAnsi="Times;serif"/>
                <w:color w:val="008000"/>
                <w:position w:val="7"/>
                <w:sz w:val="16"/>
                <w:sz w:val="20"/>
                <w:shd w:fill="FFFFFF" w:val="clear"/>
              </w:rPr>
              <w:t>(2)</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52,731</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prices sold ranged from $9.445 to $9.48 per ordinary share. The reporting person will provide the Issuer, any security holder of the Issuer, or the SEC staff,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536" TargetMode="External"/><Relationship Id="rId5" Type="http://schemas.openxmlformats.org/officeDocument/2006/relationships/hyperlink" Target="http://www.sec.gov/cgi-bin/browse-edgar?action=getcompany&amp;CIK=0001801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3502</Characters>
  <CharactersWithSpaces>4081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