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198755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5" w:lineRule="exact"/>
        <w:rPr>
          <w:sz w:val="24"/>
          <w:szCs w:val="24"/>
          <w:color w:val="auto"/>
        </w:rPr>
      </w:pPr>
    </w:p>
    <w:p>
      <w:pPr>
        <w:jc w:val="center"/>
        <w:ind w:left="620"/>
        <w:spacing w:after="0" w:line="279"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3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Date of Report: June 15, 2026</w:t>
      </w:r>
    </w:p>
    <w:p>
      <w:pPr>
        <w:spacing w:after="0" w:line="2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color w:val="auto"/>
        </w:rPr>
        <w:t xml:space="preserve">Commission File Number: </w:t>
      </w:r>
      <w:r>
        <w:rPr>
          <w:rFonts w:ascii="Times New Roman" w:cs="Times New Roman" w:eastAsia="Times New Roman" w:hAnsi="Times New Roman"/>
          <w:sz w:val="21"/>
          <w:szCs w:val="21"/>
          <w:b w:val="1"/>
          <w:bCs w:val="1"/>
          <w:color w:val="auto"/>
        </w:rPr>
        <w:t>001-39307</w:t>
      </w:r>
    </w:p>
    <w:p>
      <w:pPr>
        <w:spacing w:after="0" w:line="21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1"/>
          <w:szCs w:val="21"/>
          <w:b w:val="1"/>
          <w:bCs w:val="1"/>
          <w:color w:val="auto"/>
        </w:rPr>
        <w:t>Legend Biotech Corporation</w:t>
      </w:r>
    </w:p>
    <w:p>
      <w:pPr>
        <w:spacing w:after="0" w:line="2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1"/>
          <w:szCs w:val="21"/>
          <w:color w:val="auto"/>
        </w:rPr>
        <w:t>(Translation of registrant's name into English)</w:t>
      </w:r>
    </w:p>
    <w:p>
      <w:pPr>
        <w:spacing w:after="0" w:line="18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2101 Cottontail Lane</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Somerset, New Jersey 08873</w:t>
      </w:r>
    </w:p>
    <w:p>
      <w:pPr>
        <w:jc w:val="center"/>
        <w:ind w:right="-299"/>
        <w:spacing w:after="0"/>
        <w:rPr>
          <w:sz w:val="20"/>
          <w:szCs w:val="20"/>
          <w:color w:val="auto"/>
        </w:rPr>
      </w:pPr>
      <w:r>
        <w:rPr>
          <w:rFonts w:ascii="Times New Roman" w:cs="Times New Roman" w:eastAsia="Times New Roman" w:hAnsi="Times New Roman"/>
          <w:sz w:val="21"/>
          <w:szCs w:val="21"/>
          <w:color w:val="auto"/>
        </w:rPr>
        <w:t>(Address of principal executive office)</w:t>
      </w:r>
    </w:p>
    <w:p>
      <w:pPr>
        <w:spacing w:after="0" w:line="188" w:lineRule="exact"/>
        <w:rPr>
          <w:sz w:val="24"/>
          <w:szCs w:val="24"/>
          <w:color w:val="auto"/>
        </w:rPr>
      </w:pPr>
    </w:p>
    <w:p>
      <w:pPr>
        <w:ind w:right="880"/>
        <w:spacing w:after="0" w:line="275" w:lineRule="auto"/>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680720</wp:posOffset>
            </wp:positionV>
            <wp:extent cx="71380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20955"/>
                    </a:xfrm>
                    <a:prstGeom prst="rect">
                      <a:avLst/>
                    </a:prstGeom>
                    <a:noFill/>
                  </pic:spPr>
                </pic:pic>
              </a:graphicData>
            </a:graphic>
          </wp:anchor>
        </w:drawing>
      </w:r>
    </w:p>
    <w:p>
      <w:pPr>
        <w:sectPr>
          <w:pgSz w:w="11900" w:h="16838" w:orient="portrait"/>
          <w:cols w:equalWidth="0" w:num="1">
            <w:col w:w="10960"/>
          </w:cols>
          <w:pgMar w:left="320" w:top="539" w:right="6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b w:val="1"/>
          <w:bCs w:val="1"/>
          <w:color w:val="auto"/>
        </w:rPr>
        <w:t>Legend Biotech Presents First-in-Human LB2501 In Vivo CAR-T Data at EHA 2026</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1"/>
          <w:szCs w:val="21"/>
          <w:color w:val="auto"/>
        </w:rPr>
        <w:t>On June 14, 2026, Legend Biotech Corporation (“Legend Biotech”) issued a press release announcing first clinical proof-of-concept data for LB2501, its investigational in vivo CD19/CD20 dual-targeting CAR-T cell therapy, in patients with relapsed or refractory B-cell non-Hodgkin lymphoma (R/R B-NHL)(the “Proof-of-Concept Data”). The press release is attached to this Form 6-K as Exhibit 99.1.</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The Company has also made available an investor presentation regarding the Proof-of-Concept Data, a copy of which is attached to this Form 6-K as Exhibit 99.2 and may be viewed on the Company’s website at https://investors.legendbiotech.com/events-and-presentations.</w:t>
      </w:r>
    </w:p>
    <w:p>
      <w:pPr>
        <w:spacing w:after="0" w:line="16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color w:val="auto"/>
        </w:rPr>
        <w:t>This report on Form 6-K, including Exhibit 99.1 and Exhibit 99.2,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15, 2026</w:t>
      </w:r>
    </w:p>
    <w:p>
      <w:pPr>
        <w:spacing w:after="0" w:line="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EHA 2026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1380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2095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Legend Biotech Corporation</w:t>
            </w:r>
          </w:p>
        </w:tc>
      </w:tr>
      <w:tr>
        <w:trPr>
          <w:trHeight w:val="234"/>
        </w:trPr>
        <w:tc>
          <w:tcPr>
            <w:tcW w:w="7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5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Huang</w:t>
            </w:r>
          </w:p>
        </w:tc>
        <w:tc>
          <w:tcPr>
            <w:tcW w:w="560" w:type="dxa"/>
            <w:vAlign w:val="bottom"/>
          </w:tcPr>
          <w:p>
            <w:pPr>
              <w:spacing w:after="0"/>
              <w:rPr>
                <w:sz w:val="24"/>
                <w:szCs w:val="24"/>
                <w:color w:val="auto"/>
              </w:rPr>
            </w:pPr>
          </w:p>
        </w:tc>
      </w:tr>
      <w:tr>
        <w:trPr>
          <w:trHeight w:val="215"/>
        </w:trPr>
        <w:tc>
          <w:tcPr>
            <w:tcW w:w="7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Ying Huang, Ph.D.</w:t>
            </w:r>
          </w:p>
        </w:tc>
      </w:tr>
      <w:tr>
        <w:trPr>
          <w:trHeight w:val="232"/>
        </w:trPr>
        <w:tc>
          <w:tcPr>
            <w:tcW w:w="7340" w:type="dxa"/>
            <w:vAlign w:val="bottom"/>
          </w:tcPr>
          <w:p>
            <w:pPr>
              <w:spacing w:after="0"/>
              <w:rPr>
                <w:sz w:val="20"/>
                <w:szCs w:val="20"/>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bl>
    <w:p>
      <w:pPr>
        <w:sectPr>
          <w:pgSz w:w="11900" w:h="16838" w:orient="portrait"/>
          <w:cols w:equalWidth="0" w:num="1">
            <w:col w:w="11020"/>
          </w:cols>
          <w:pgMar w:left="320" w:top="322" w:right="559" w:bottom="1440" w:gutter="0" w:footer="0" w:header="0"/>
        </w:sectPr>
      </w:pPr>
    </w:p>
    <w:bookmarkStart w:id="3" w:name="page4"/>
    <w:bookmarkEnd w:id="3"/>
    <w:p>
      <w:pPr>
        <w:ind w:left="99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7"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25"/>
          <w:szCs w:val="25"/>
          <w:b w:val="1"/>
          <w:bCs w:val="1"/>
          <w:color w:val="auto"/>
        </w:rPr>
        <w:t>Legend Biotech Establishes Clinical Proof-of-Concept for LB2501, a Potential First-in-Class In Vivo CD19/CD20 Dual-Targeting CAR-T, in Relapsed/Refractory B-Cell Non-Hodgkin Lymphoma</w:t>
      </w:r>
    </w:p>
    <w:p>
      <w:pPr>
        <w:spacing w:after="0" w:line="125"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21"/>
          <w:szCs w:val="21"/>
          <w:i w:val="1"/>
          <w:iCs w:val="1"/>
          <w:color w:val="auto"/>
        </w:rPr>
        <w:t>Achieved 100% ORR and 83.3% CR rate at dose level 2 following a single infusion in patients with relapsed/refractory B-NHL in an ongoing Phase 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-254635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i w:val="1"/>
          <w:iCs w:val="1"/>
          <w:color w:val="auto"/>
        </w:rPr>
        <w:t>Single infusion of LB2501 generated dose-dependent in vivo CAR-T expansion without lymphodepletion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-102870</wp:posOffset>
            </wp:positionV>
            <wp:extent cx="6794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ind w:left="540"/>
        <w:spacing w:after="0" w:line="238" w:lineRule="auto"/>
        <w:rPr>
          <w:sz w:val="20"/>
          <w:szCs w:val="20"/>
          <w:color w:val="auto"/>
        </w:rPr>
      </w:pPr>
      <w:r>
        <w:rPr>
          <w:rFonts w:ascii="Times New Roman" w:cs="Times New Roman" w:eastAsia="Times New Roman" w:hAnsi="Times New Roman"/>
          <w:sz w:val="21"/>
          <w:szCs w:val="21"/>
          <w:i w:val="1"/>
          <w:iCs w:val="1"/>
          <w:color w:val="auto"/>
        </w:rPr>
        <w:t>No dose-limiting toxicities, serious adverse events, ICANS, or deaths were reported; infusion-related reactions and CRS were Grade 1–2, and none required glucocorticoids for CRS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-254635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ind w:left="540"/>
        <w:spacing w:after="0" w:line="238" w:lineRule="auto"/>
        <w:rPr>
          <w:sz w:val="20"/>
          <w:szCs w:val="20"/>
          <w:color w:val="auto"/>
        </w:rPr>
      </w:pPr>
      <w:r>
        <w:rPr>
          <w:rFonts w:ascii="Times New Roman" w:cs="Times New Roman" w:eastAsia="Times New Roman" w:hAnsi="Times New Roman"/>
          <w:sz w:val="21"/>
          <w:szCs w:val="21"/>
          <w:i w:val="1"/>
          <w:iCs w:val="1"/>
          <w:color w:val="auto"/>
        </w:rPr>
        <w:t>Additional translational data showed rapid vector clearance, polyclonal vector integration, and no evidence of non-specific transduction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-254635</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ind w:left="540"/>
        <w:spacing w:after="0" w:line="251" w:lineRule="auto"/>
        <w:rPr>
          <w:sz w:val="20"/>
          <w:szCs w:val="20"/>
          <w:color w:val="auto"/>
        </w:rPr>
      </w:pPr>
      <w:r>
        <w:rPr>
          <w:rFonts w:ascii="Times New Roman" w:cs="Times New Roman" w:eastAsia="Times New Roman" w:hAnsi="Times New Roman"/>
          <w:sz w:val="21"/>
          <w:szCs w:val="21"/>
          <w:i w:val="1"/>
          <w:iCs w:val="1"/>
          <w:color w:val="auto"/>
        </w:rPr>
        <w:t>Proof-of-concept progress demonstrates leadership in next-generation cell therapies, with results presented in a late-breaking session at EHA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-271145</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3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BRIDGEWATER, N.J., June 15, 2026 (GLOBE NEWSWIRE) -- Legend Biotech Corporation (NASDAQ: LEGN) (Legend Biotech), a global leader in cell therapy, today announced first clinical proof-of-concept data for LB2501, its investigational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CD19/CD20 dual-targeting CAR-T cell therapy, in patients with relapsed or refractory B-cell non-Hodgkin lymphoma (R/R B-NHL). The results are being presented today in a late-breaking session at the European Hematology Association (EHA) 2026 Congress (Abstract #LB5006).</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In the ongoing Phase 1 study, a single infusion of LB2501 generated dose-dependent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expansion without lymphodepletion. At the higher dose level (DL2), LB2501 achieved a 100% objective response rate (ORR) (6/6) and an 83.3% complete response rate (CR) (5/6), with all responses ongoing at the time of data cutoff. LB2501 also showed a favorable safety profile, with no dose-limiting toxicities (DLTs), serious adverse events (SAEs), immune effector cell-associated neurotoxicity syndrome (ICANS), or deaths reported.</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represents a compelling frontier in cell therapy, enabling the generation of CAR-T cells directly within the patient, with the potential to simplify treatment and expand access over time,” said Ying Huang, Ph.D., Chief Executive Officer of Legend Biotech. “LB2501 is our step toward realizing that vision and reflects further progress toward our goal of leading the future of cell therapy. Backed by the commercial and scientific foundation we have built with CARVYKTI, we are well-positioned to advance this next generation of CAR-T delivery. These early data, with deep responses from a single infusion across patients, give us confidence in the path ahead.”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LB2501 Demonstrates </w:t>
      </w:r>
      <w:r>
        <w:rPr>
          <w:rFonts w:ascii="Times New Roman" w:cs="Times New Roman" w:eastAsia="Times New Roman" w:hAnsi="Times New Roman"/>
          <w:sz w:val="21"/>
          <w:szCs w:val="21"/>
          <w:b w:val="1"/>
          <w:bCs w:val="1"/>
          <w:i w:val="1"/>
          <w:iCs w:val="1"/>
          <w:color w:val="auto"/>
        </w:rPr>
        <w:t>In Vivo</w:t>
      </w:r>
      <w:r>
        <w:rPr>
          <w:rFonts w:ascii="Times New Roman" w:cs="Times New Roman" w:eastAsia="Times New Roman" w:hAnsi="Times New Roman"/>
          <w:sz w:val="21"/>
          <w:szCs w:val="21"/>
          <w:b w:val="1"/>
          <w:bCs w:val="1"/>
          <w:color w:val="auto"/>
        </w:rPr>
        <w:t xml:space="preserve"> CAR-T Generation and Early Clinical Activity</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In an ongoing Phase 1 study, 12 patients with R/R B-NHL received LB2501 across two dose levels, DL1 (n=6) and DL2 (n=6). Patients had received a median of three prior lines of therapy, and 58.3% were refractory to their most recent treatment. The open-label, multi-center, dose-escalation study is evaluating safety, recommended Phase 2 dose, pharmacokinetics, and preliminary efficacy in adults with R/R B-NHL. The study was conducted without lymphodepletion.</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At DL2, LB2501 achieved a 100% ORR (6/6) and an 83.3% CR rate (5/6), with responses observed across patients with diffuse large B-cell lymphoma (DLBCL), mantle cell lymphoma (MCL), and follicular lymphoma (FL). Across both dose levels, the ORR was 50.0% (6/12), and the CR rate was 41.7% (5/12). At the time of data cutoff, all responses at DL2 were ongoing.</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LB2501 showed a favorable safety profile. No DLTs, SAEs, ICANS, or deaths were reported. Infusion-related reactions (IRR) and cytokine release syndrome (CRS) were the most common adverse events of special interest and were all Grade 1–2. Infusion-related reactions occurred in 75.0% (9/12) of patients overall, with a median onset of 1.4 hours after infusion and a median recovery time of 18.6 hours. CRS occurred in 66.7% (8/12) of patients overall, with a median onset at Day 11 and a median duration of 4.5 days. IRR and CRS were all Grade 1–2, no patients required glucocorticoids for CRS management. Four patients received tocilizumab.</w:t>
      </w: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Pharmacokinetic analyses showed dose-dependent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expansion in 100% (6/6) of patients at DL2 and 83% (5/6) of patients at DL1. CAR-T cells remained detectable in peripheral blood for up to 116 days. Viral copy number in peripheral blood peaked immediately after infusion and decreased to undetectable concentrations within 24 hours.</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Additional translational analyses further characterized the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profile of LB2501. No evidence of non-specific transduction was detected in NK cells or other non-T/B/NK lymphocyte populations. Vector integrations were highly polyclonal and diverse. These findings support proof-of-concept for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T-cell engineering, with polyclonal vector integration and rapid vector clearance.</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early clinical findings are encouraging in a heavily pretreated relapsed or refractory B-cell non-Hodgkin lymphoma population,” said Lei Fan, M.D., Ph.D., Professor, Doctoral Supervisor, and Administrative Director, Hematology Department, Jiangsu Province Hospital, Nanjing, China. “The responses observed at the higher dose level achieved a 100% objective response rate, together with a favorable safety profile and the absence of lymphodepletion, support further investigation of LB2501 as a novel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approach. The additional pharmacokinetic and translational findings presented at EHA further support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feasibility of generating CAR-T cells directly within the patient.” </w:t>
      </w:r>
      <w:r>
        <w:rPr>
          <w:rFonts w:ascii="Times New Roman" w:cs="Times New Roman" w:eastAsia="Times New Roman" w:hAnsi="Times New Roman"/>
          <w:sz w:val="35"/>
          <w:szCs w:val="35"/>
          <w:color w:val="auto"/>
          <w:vertAlign w:val="superscript"/>
        </w:rPr>
        <w:t>‡</w:t>
      </w:r>
    </w:p>
    <w:p>
      <w:pPr>
        <w:sectPr>
          <w:pgSz w:w="11900" w:h="16838" w:orient="portrait"/>
          <w:cols w:equalWidth="0" w:num="1">
            <w:col w:w="11240"/>
          </w:cols>
          <w:pgMar w:left="320" w:top="108" w:right="339" w:bottom="92"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ABOUT LB2501</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LB2501 is an investigational, potential first-in-class CD19/CD20 dual-targeting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CAR-T therapy designed to generate CAR-T cells directly within the patient following a single intravenous infusion. It is being evaluated in an ongoing Phase 1, open-label</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study (NCT07002112) in patients with relapsed/refractory B-cell malignancies</w:t>
      </w:r>
      <w:r>
        <w:rPr>
          <w:rFonts w:ascii="Times New Roman" w:cs="Times New Roman" w:eastAsia="Times New Roman" w:hAnsi="Times New Roman"/>
          <w:sz w:val="35"/>
          <w:szCs w:val="35"/>
          <w:color w:val="auto"/>
          <w:vertAlign w:val="superscript"/>
        </w:rPr>
        <w:t>i</w:t>
      </w:r>
      <w:r>
        <w:rPr>
          <w:rFonts w:ascii="Times New Roman" w:cs="Times New Roman" w:eastAsia="Times New Roman" w:hAnsi="Times New Roman"/>
          <w:sz w:val="21"/>
          <w:szCs w:val="21"/>
          <w:color w:val="auto"/>
        </w:rPr>
        <w:t xml:space="preserve"> to assess safety, tolerability, and preliminary efficacy.</w:t>
      </w:r>
      <w:r>
        <w:rPr>
          <w:rFonts w:ascii="Times New Roman" w:cs="Times New Roman" w:eastAsia="Times New Roman" w:hAnsi="Times New Roman"/>
          <w:sz w:val="35"/>
          <w:szCs w:val="35"/>
          <w:color w:val="auto"/>
          <w:vertAlign w:val="superscript"/>
        </w:rPr>
        <w:t>[i]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B-CELL NON-HODGKIN LYMPHOMA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Non-Hodgkin lymphoma (NHL) is a group of cancers that originate in lymphocytes, a type of white blood cell that plays a key role</w:t>
      </w:r>
    </w:p>
    <w:p>
      <w:pPr>
        <w:spacing w:after="0" w:line="4"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21"/>
          <w:szCs w:val="21"/>
          <w:color w:val="auto"/>
        </w:rPr>
        <w:t>in the body’s immune system.</w:t>
      </w:r>
      <w:r>
        <w:rPr>
          <w:rFonts w:ascii="Times New Roman" w:cs="Times New Roman" w:eastAsia="Times New Roman" w:hAnsi="Times New Roman"/>
          <w:sz w:val="35"/>
          <w:szCs w:val="35"/>
          <w:color w:val="auto"/>
          <w:vertAlign w:val="superscript"/>
        </w:rPr>
        <w:t>ii</w:t>
      </w:r>
      <w:r>
        <w:rPr>
          <w:rFonts w:ascii="Times New Roman" w:cs="Times New Roman" w:eastAsia="Times New Roman" w:hAnsi="Times New Roman"/>
          <w:sz w:val="21"/>
          <w:szCs w:val="21"/>
          <w:color w:val="auto"/>
        </w:rPr>
        <w:t xml:space="preserve"> B-cell lymphomas account for approximately 85% of NHL cases and arise from abnormal growth of B lymphocytes (B cells), which are responsible for producing antibodies. These malignancies include a range of subtypes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vary in aggressiveness, from slow-growing to highly aggressive disease.</w:t>
      </w:r>
      <w:r>
        <w:rPr>
          <w:rFonts w:ascii="Times New Roman" w:cs="Times New Roman" w:eastAsia="Times New Roman" w:hAnsi="Times New Roman"/>
          <w:sz w:val="35"/>
          <w:szCs w:val="35"/>
          <w:color w:val="auto"/>
          <w:vertAlign w:val="superscript"/>
        </w:rPr>
        <w:t>iii</w:t>
      </w:r>
    </w:p>
    <w:p>
      <w:pPr>
        <w:spacing w:after="0" w:line="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While treatment advances have improved outcomes for some patients, those with relapsed or refractory B-cell NHL, particularly after multiple lines of therapy, often face limited options.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LEGEND BIOTECH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over 3,000 employees, Legend Biotech is the largest standalone cell therapy company and a pioneer in treatments that change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cancer care forever. Legend Biotech is at the forefront of the CAR-T cell therapy revolution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1"/>
          <w:szCs w:val="21"/>
          <w:color w:val="auto"/>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Learn more at https://legendbiotech.com and follow us on X, Instagram, and LinkedIn.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CAUTIONARY NOTE REGARDING FORWARD-LOOKING STATEMENTS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Phase 1 clinical trial of LB2501, and the potential benefits of LB2501, including the reproducibility and durability of any favorable results initially seen in patients dosed to date in clinical trials, and LB2501’s potential to be first-in-class.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Legend Biotech’s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90" w:lineRule="exact"/>
        <w:rPr>
          <w:sz w:val="20"/>
          <w:szCs w:val="20"/>
          <w:color w:val="auto"/>
        </w:rPr>
      </w:pPr>
    </w:p>
    <w:p>
      <w:pPr>
        <w:jc w:val="both"/>
        <w:ind w:firstLine="7"/>
        <w:spacing w:after="0" w:line="256" w:lineRule="auto"/>
        <w:tabs>
          <w:tab w:leader="none" w:pos="19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Lei Fan, M.D., Ph.D., Professor, Doctoral Supervisor, and Administrative Director, Hematology Department, Jiangsu Province Hospital, Nanjing, China, has provided consulting and advisory services to Legend Biotech; he has not been paid for any media work.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Jessie Yeung</w:t>
      </w:r>
    </w:p>
    <w:p>
      <w:pPr>
        <w:spacing w:after="0" w:line="238" w:lineRule="auto"/>
        <w:rPr>
          <w:sz w:val="20"/>
          <w:szCs w:val="20"/>
          <w:color w:val="auto"/>
        </w:rPr>
      </w:pPr>
      <w:r>
        <w:rPr>
          <w:rFonts w:ascii="Times New Roman" w:cs="Times New Roman" w:eastAsia="Times New Roman" w:hAnsi="Times New Roman"/>
          <w:sz w:val="21"/>
          <w:szCs w:val="21"/>
          <w:color w:val="auto"/>
        </w:rPr>
        <w:t>Tel: (732) 956-8271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investor@legendbiotech.com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PRESS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Kim Fox</w:t>
      </w:r>
    </w:p>
    <w:p>
      <w:pPr>
        <w:spacing w:after="0" w:line="238" w:lineRule="auto"/>
        <w:rPr>
          <w:sz w:val="20"/>
          <w:szCs w:val="20"/>
          <w:color w:val="auto"/>
        </w:rPr>
      </w:pPr>
      <w:r>
        <w:rPr>
          <w:rFonts w:ascii="Times New Roman" w:cs="Times New Roman" w:eastAsia="Times New Roman" w:hAnsi="Times New Roman"/>
          <w:sz w:val="21"/>
          <w:szCs w:val="21"/>
          <w:color w:val="auto"/>
        </w:rPr>
        <w:t>Tel: (848) 388-8445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media@legendbiotech.com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48" w:lineRule="exact"/>
        <w:rPr>
          <w:sz w:val="20"/>
          <w:szCs w:val="20"/>
          <w:color w:val="auto"/>
        </w:rPr>
      </w:pPr>
    </w:p>
    <w:p>
      <w:pPr>
        <w:ind w:firstLine="7"/>
        <w:spacing w:after="0" w:line="193" w:lineRule="auto"/>
        <w:tabs>
          <w:tab w:leader="none" w:pos="124"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ClinicalTrials.Gov. The CD19/ CD20 Dual-Target in Vivo CAR-T Lentiviral Product in the Treatment of Relapsed/Refractory B-cell Malignancies. https://clinicaltrials.gov/study/NCT07002112. Accessed May 2026</w:t>
      </w:r>
    </w:p>
    <w:p>
      <w:pPr>
        <w:spacing w:after="0" w:line="23" w:lineRule="exact"/>
        <w:rPr>
          <w:sz w:val="20"/>
          <w:szCs w:val="20"/>
          <w:color w:val="auto"/>
        </w:rPr>
      </w:pPr>
    </w:p>
    <w:p>
      <w:pPr>
        <w:ind w:firstLine="7"/>
        <w:spacing w:after="0" w:line="193" w:lineRule="auto"/>
        <w:tabs>
          <w:tab w:leader="none" w:pos="131"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American Cancer Society. “What Is Non-Hodgkin Lymphoma?”. Available at: https://www.cancer.org/cancer/types/non-hodgkin-lymphoma/about/what-is-non-hodgkin-lymphoma.html.Accessed May 2026.</w:t>
      </w:r>
    </w:p>
    <w:p>
      <w:pPr>
        <w:sectPr>
          <w:pgSz w:w="11900" w:h="16838" w:orient="portrait"/>
          <w:cols w:equalWidth="0" w:num="1">
            <w:col w:w="11240"/>
          </w:cols>
          <w:pgMar w:left="320" w:top="108" w:right="339" w:bottom="0" w:gutter="0" w:footer="0" w:header="0"/>
        </w:sectPr>
      </w:pPr>
    </w:p>
    <w:bookmarkStart w:id="5" w:name="page6"/>
    <w:bookmarkEnd w:id="5"/>
    <w:p>
      <w:pPr>
        <w:ind w:left="-7" w:firstLine="7"/>
        <w:spacing w:after="0" w:line="193" w:lineRule="auto"/>
        <w:tabs>
          <w:tab w:leader="none" w:pos="23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American Cancer Society. “Types of B-cell Lymphoma”. Available at: https://www.cancer.org/cancer/types/non-hodgkin-lymphoma/about/b-cell-lymphoma.html. Accessed May 2026.</w:t>
      </w:r>
    </w:p>
    <w:p>
      <w:pPr>
        <w:sectPr>
          <w:pgSz w:w="11900" w:h="16838" w:orient="portrait"/>
          <w:cols w:equalWidth="0" w:num="1">
            <w:col w:w="11233"/>
          </w:cols>
          <w:pgMar w:left="327" w:top="161" w:right="339" w:bottom="1440" w:gutter="0" w:footer="0" w:header="0"/>
        </w:sectPr>
      </w:pPr>
    </w:p>
    <w:bookmarkStart w:id="6" w:name="page7"/>
    <w:bookmarkEnd w:id="6"/>
    <w:p>
      <w:pPr>
        <w:ind w:left="90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172085</wp:posOffset>
            </wp:positionV>
            <wp:extent cx="7196455" cy="4321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37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21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2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312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12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134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134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i"/>
      <w:numFmt w:val="bullet"/>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2026-06-15T07:02:49Z</dcterms:created>
  <dcterms:modified xsi:type="dcterms:W3CDTF">2026-06-15T07:02:49Z</dcterms:modified>
</cp:coreProperties>
</file>