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14,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87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 w:lineRule="exact"/>
        <w:rPr>
          <w:sz w:val="24"/>
          <w:szCs w:val="24"/>
          <w:color w:val="auto"/>
        </w:rPr>
      </w:pPr>
    </w:p>
    <w:p>
      <w:pPr>
        <w:sectPr>
          <w:pgSz w:w="11900" w:h="16838" w:orient="portrait"/>
          <w:cols w:equalWidth="0" w:num="2">
            <w:col w:w="7040" w:space="720"/>
            <w:col w:w="3200"/>
          </w:cols>
          <w:pgMar w:left="440" w:top="225" w:right="499" w:bottom="878"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1" w:lineRule="exact"/>
        <w:rPr>
          <w:sz w:val="24"/>
          <w:szCs w:val="24"/>
          <w:color w:val="auto"/>
        </w:rPr>
      </w:pPr>
    </w:p>
    <w:p>
      <w:pPr>
        <w:sectPr>
          <w:pgSz w:w="11900" w:h="16838" w:orient="portrait"/>
          <w:cols w:equalWidth="0" w:num="2">
            <w:col w:w="6900" w:space="720"/>
            <w:col w:w="3340"/>
          </w:cols>
          <w:pgMar w:left="440" w:top="225" w:right="499" w:bottom="878"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Legend Biotech Corporation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Somerset, NJ 08873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(732) 317-5050</w:t>
      </w:r>
    </w:p>
    <w:p>
      <w:pPr>
        <w:sectPr>
          <w:pgSz w:w="11900" w:h="16838" w:orient="portrait"/>
          <w:cols w:equalWidth="0" w:num="1">
            <w:col w:w="10960"/>
          </w:cols>
          <w:pgMar w:left="440" w:top="225" w:right="499" w:bottom="878"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223520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2020 Restricted Shares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Ying Huang,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Somerset, NJ 08873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(732) 317-5050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Divakar Gupta,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Ballantyne,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878"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Pursuant to General Instruction E to Form S-8, Legend Biotech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on Form S-8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register 15,000,000 additional ordinary shares, par value US$0.0001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the Registrant under the Amended and Restated 2020 Restricted Shares Plan (the “</w:t>
      </w:r>
      <w:r>
        <w:rPr>
          <w:rFonts w:ascii="Times New Roman" w:cs="Times New Roman" w:eastAsia="Times New Roman" w:hAnsi="Times New Roman"/>
          <w:sz w:val="18"/>
          <w:szCs w:val="18"/>
          <w:b w:val="1"/>
          <w:bCs w:val="1"/>
          <w:i w:val="1"/>
          <w:iCs w:val="1"/>
          <w:color w:val="auto"/>
        </w:rPr>
        <w:t>RSU Plan</w:t>
      </w:r>
      <w:r>
        <w:rPr>
          <w:rFonts w:ascii="Times New Roman" w:cs="Times New Roman" w:eastAsia="Times New Roman" w:hAnsi="Times New Roman"/>
          <w:sz w:val="18"/>
          <w:szCs w:val="18"/>
          <w:color w:val="auto"/>
        </w:rPr>
        <w:t>”). In accordance with the instructional note to Part I of Form S-8 as promulgated by the Commission, the information specified by Part I of the Form S-8 has been omitted from this Registration Statement.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are incorporated by reference herein:</w:t>
      </w:r>
    </w:p>
    <w:p>
      <w:pPr>
        <w:spacing w:after="0" w:line="131" w:lineRule="exact"/>
        <w:rPr>
          <w:sz w:val="20"/>
          <w:szCs w:val="20"/>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Registration Statement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filed with the Commission on June 26, 2020 (File No. 333-239478), as amended on September 4, 2020;</w:t>
      </w:r>
    </w:p>
    <w:p>
      <w:pPr>
        <w:spacing w:after="0" w:line="67"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19, 2024;</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auto"/>
          </w:rPr>
          <w:t xml:space="preserve">The Registrant’s Current Reports on Form 6-K filed with the SEC on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May 23,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June 3,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July 2,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July 17,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July 26,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August 8,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August 9, 2024</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August 27, 2024</w:t>
        </w:r>
      </w:hyperlink>
      <w:hyperlink r:id="rId2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September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27,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5,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12,</w:t>
        </w:r>
      </w:hyperlink>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w:t>
        </w:r>
      </w:hyperlink>
    </w:p>
    <w:p>
      <w:pPr>
        <w:spacing w:after="0" w:line="85" w:lineRule="exact"/>
        <w:rPr>
          <w:rFonts w:ascii="Times New Roman" w:cs="Times New Roman" w:eastAsia="Times New Roman" w:hAnsi="Times New Roman"/>
          <w:sz w:val="18"/>
          <w:szCs w:val="18"/>
          <w:color w:val="0000EE"/>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the Registrant’s registration statement on </w:t>
      </w:r>
      <w:hyperlink r:id="rId3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 2020 (File</w:t>
      </w:r>
    </w:p>
    <w:p>
      <w:pPr>
        <w:spacing w:after="0" w:line="27" w:lineRule="exact"/>
        <w:rPr>
          <w:rFonts w:ascii="Times New Roman" w:cs="Times New Roman" w:eastAsia="Times New Roman" w:hAnsi="Times New Roman"/>
          <w:sz w:val="18"/>
          <w:szCs w:val="18"/>
          <w:color w:val="auto"/>
        </w:rPr>
      </w:pPr>
    </w:p>
    <w:p>
      <w:pPr>
        <w:ind w:left="9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001-39307) pursuant to Section 12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together with all amendments and reports filed for the purpose of updating that description, including Exhibit 2.4 to the Annual Report on Form 20-F for the year ended December 31, 2023.</w:t>
      </w:r>
    </w:p>
    <w:p>
      <w:pPr>
        <w:spacing w:after="0" w:line="186" w:lineRule="exact"/>
        <w:rPr>
          <w:rFonts w:ascii="Times New Roman" w:cs="Times New Roman" w:eastAsia="Times New Roman" w:hAnsi="Times New Roman"/>
          <w:sz w:val="18"/>
          <w:szCs w:val="18"/>
          <w:color w:val="0000EE"/>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29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0000EE"/>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0000EE"/>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300" w:firstLine="991"/>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currently effective third amended and restated memorandum and articles of association, adopted by its shareholders on May 26, 2020 and effective immediately prior to the completion of the Company’s initial public offering of American Depositary Shares representing its Ordinary Shares, provides that the Registrant shall indemnify its directors and officers against all actions, proceedings, costs, charges, expenses, losses, damages or liabilities incurred or sustained by such persons in their capacity as such, except through any dishonesty, willful default or fraud.</w:t>
      </w:r>
    </w:p>
    <w:p>
      <w:pPr>
        <w:spacing w:after="0" w:line="189"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was filed as Exhibit 10.2 to the Registrant’s registration statement on Form F-1, as amended (File No. 333-238232), the Registrant has agreed to indemnify its directors and officers against certain liabilities and expenses incurred by such persons in connection with claims made by reason of their being such a director or officer.</w:t>
      </w:r>
    </w:p>
    <w:p>
      <w:pPr>
        <w:spacing w:after="0" w:line="172"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00" w:type="dxa"/>
            <w:vAlign w:val="bottom"/>
            <w:gridSpan w:val="8"/>
            <w:vMerge w:val="restart"/>
          </w:tcPr>
          <w:p>
            <w:pPr>
              <w:ind w:left="74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1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2"/>
                <w:szCs w:val="22"/>
                <w:color w:val="auto"/>
              </w:rPr>
            </w:pPr>
          </w:p>
        </w:tc>
        <w:tc>
          <w:tcPr>
            <w:tcW w:w="962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Third Amended and Restated Memorandum and Articles of Association of the Registrant, which became effective as of June 9, 2020</w:t>
              </w:r>
            </w:hyperlink>
          </w:p>
        </w:tc>
        <w:tc>
          <w:tcPr>
            <w:tcW w:w="400" w:type="dxa"/>
            <w:vAlign w:val="bottom"/>
            <w:tcBorders>
              <w:top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14"/>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(incorporated herein by reference to Exhibit 3.2 to the Registration Statement on Form F-1, as amended (File No. 333-238232))</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Registrant’s Specimen Certificate for ordinary shares (incorporated herein by reference to Exhibit 4.1 to the Registration Statement on</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1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F-1, as amended (File No. 333-238232))</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10020" w:type="dxa"/>
            <w:vAlign w:val="bottom"/>
            <w:gridSpan w:val="1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Deposit Agreement, dated June 5, 2020, among the Registrant, JPMorgan Chase Bank, N.A., as depositary and holders and beneficial</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owners of the American Depositary Shares (incorporated herein by reference to Exhibit 4.2 to the Registration Statement on Form F-1, as</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amended (File No. 333-238232))</w:t>
              </w:r>
            </w:hyperlink>
          </w:p>
        </w:tc>
        <w:tc>
          <w:tcPr>
            <w:tcW w:w="7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Amended and Restated 2020 Restricted Shares Plan (including form of Restricted Share Unit Award Agreement)</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81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Opinion of Maples and Calder (Hong Kong) LLP, regarding the validity of the ordinary shares being registered</w:t>
            </w:r>
          </w:p>
        </w:tc>
        <w:tc>
          <w:tcPr>
            <w:tcW w:w="1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w:t>
            </w:r>
          </w:p>
        </w:tc>
        <w:tc>
          <w:tcPr>
            <w:tcW w:w="5700" w:type="dxa"/>
            <w:vAlign w:val="bottom"/>
            <w:tcBorders>
              <w:top w:val="single" w:sz="8" w:color="0000EE"/>
            </w:tcBorders>
            <w:gridSpan w:val="6"/>
          </w:tcPr>
          <w:p>
            <w:pPr>
              <w:spacing w:after="0"/>
              <w:rPr>
                <w:sz w:val="24"/>
                <w:szCs w:val="24"/>
                <w:color w:val="auto"/>
              </w:rPr>
            </w:pPr>
          </w:p>
        </w:tc>
        <w:tc>
          <w:tcPr>
            <w:tcW w:w="2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3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Ernst &amp; Young Hua Ming LLP</w:t>
            </w:r>
          </w:p>
        </w:tc>
        <w:tc>
          <w:tcPr>
            <w:tcW w:w="6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24"/>
                <w:szCs w:val="24"/>
                <w:color w:val="auto"/>
              </w:rPr>
            </w:pPr>
          </w:p>
        </w:tc>
        <w:tc>
          <w:tcPr>
            <w:tcW w:w="5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Maples and Calder (Hong Kong) LLP (included in Exhibit 5.1)</w:t>
            </w:r>
          </w:p>
        </w:tc>
        <w:tc>
          <w:tcPr>
            <w:tcW w:w="4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hereto)</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2740" w:type="dxa"/>
            <w:vAlign w:val="bottom"/>
            <w:tcBorders>
              <w:top w:val="single" w:sz="8" w:color="0000EE"/>
            </w:tcBorders>
            <w:gridSpan w:val="5"/>
          </w:tcPr>
          <w:p>
            <w:pPr>
              <w:spacing w:after="0"/>
              <w:rPr>
                <w:sz w:val="24"/>
                <w:szCs w:val="24"/>
                <w:color w:val="auto"/>
              </w:rPr>
            </w:pPr>
          </w:p>
        </w:tc>
        <w:tc>
          <w:tcPr>
            <w:tcW w:w="61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0" w:hanging="533"/>
        <w:spacing w:after="0" w:line="253"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w:t>
      </w:r>
    </w:p>
    <w:p>
      <w:pPr>
        <w:spacing w:after="0" w:line="5" w:lineRule="exact"/>
        <w:rPr>
          <w:rFonts w:ascii="Times New Roman" w:cs="Times New Roman" w:eastAsia="Times New Roman" w:hAnsi="Times New Roman"/>
          <w:sz w:val="18"/>
          <w:szCs w:val="18"/>
          <w:color w:val="auto"/>
        </w:rPr>
      </w:pPr>
    </w:p>
    <w:p>
      <w:pPr>
        <w:ind w:left="196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960" w:right="580" w:hanging="533"/>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that information in the registration statement;</w:t>
      </w:r>
    </w:p>
    <w:p>
      <w:pPr>
        <w:spacing w:after="0" w:line="52" w:lineRule="exact"/>
        <w:rPr>
          <w:sz w:val="20"/>
          <w:szCs w:val="20"/>
          <w:color w:val="auto"/>
        </w:rPr>
      </w:pPr>
    </w:p>
    <w:p>
      <w:pPr>
        <w:ind w:left="1420" w:right="28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ind w:left="1420" w:right="180" w:hanging="439"/>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 w:name="page5"/>
    <w:bookmarkEnd w:id="4"/>
    <w:p>
      <w:pPr>
        <w:ind w:left="540" w:hanging="532"/>
        <w:spacing w:after="0" w:line="254"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60" w:top="270" w:right="5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Somerset, New Jersey, on November 14,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225"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19685</wp:posOffset>
            </wp:positionV>
            <wp:extent cx="2434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Ying Huang, Ph.D.</w:t>
      </w:r>
    </w:p>
    <w:p>
      <w:pPr>
        <w:spacing w:after="0" w:line="23"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&amp; Director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40" w:top="266" w:right="5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severally and not jointly, each of Ying Huang, Ph.D. and Lori Macomber,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full power and authority to do and perform each and every act and thing requisite and necessary to be done as fully to all intents and purposes as he or she might or could do in person, hereby ratifying and confirming all that said attorney-in-fact may lawfully do or cause to be done by virtue hereof.</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right"/>
              <w:ind w:right="2208"/>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Ying Huang,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Macomber, CPA</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Lori Macomber, CPA</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Fangliang Zhang,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Fangliang Zhang,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Ye Wang, M.S.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Ye Wang, M.S.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Darren Xiaohui Ji, M.D.,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Darren Xiaohui Ji, M.D.,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Corazon Dating Sanders,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Corazon Dating Sanders,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Yau Wai Man Philip, CPA</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Yau Wai Man Philip, CPA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 Zhu,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 Zhu,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Casey,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Patrick Casey,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Tomas J. Heyman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Tomas J. Heyman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 Mao,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 Mao,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Salovey,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Peter Salovey,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4960" w:type="dxa"/>
            <w:vAlign w:val="bottom"/>
            <w:gridSpan w:val="2"/>
          </w:tcPr>
          <w:p>
            <w:pPr>
              <w:jc w:val="right"/>
              <w:ind w:right="3528"/>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Legend Biotech Corporation, has signed this registration statement or amendment thereto in Somerset, New Jersey on November 14,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Ying Huang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&amp; Director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RESTRICTED SHARES PLAN AS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purpose of the Legend Biotech Corporation 2020 Restricted Shares Plan as amended and restated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Legend Biotech Corporation,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Restricted Share or Restricted Share Unit award granted to a Participant pursuant to the Plan.</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Board or a committee of the Board described in Article 9.</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78" w:lineRule="exact"/>
        <w:rPr>
          <w:sz w:val="20"/>
          <w:szCs w:val="20"/>
          <w:color w:val="auto"/>
        </w:rPr>
      </w:pPr>
    </w:p>
    <w:p>
      <w:pPr>
        <w:jc w:val="both"/>
        <w:ind w:right="180" w:firstLine="440"/>
        <w:spacing w:after="0" w:line="315"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xml:space="preserve">”, unless otherwise defined in an Award Agreement, means any of the following transactions,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Committee shall determine under (d) and (e) whether multiple transactions are related, and its determination shall be final, binding and conclusive:</w:t>
      </w:r>
    </w:p>
    <w:p>
      <w:pPr>
        <w:spacing w:after="0" w:line="29" w:lineRule="exact"/>
        <w:rPr>
          <w:sz w:val="20"/>
          <w:szCs w:val="20"/>
          <w:color w:val="auto"/>
        </w:rPr>
      </w:pPr>
    </w:p>
    <w:p>
      <w:pPr>
        <w:jc w:val="both"/>
        <w:ind w:right="60" w:firstLine="987"/>
        <w:spacing w:after="0" w:line="261"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ectPr>
          <w:pgSz w:w="11900" w:h="16838" w:orient="portrait"/>
          <w:cols w:equalWidth="0" w:num="1">
            <w:col w:w="11020"/>
          </w:cols>
          <w:pgMar w:left="440" w:top="117" w:right="439" w:bottom="1440" w:gutter="0" w:footer="0" w:header="0"/>
        </w:sectPr>
      </w:pPr>
    </w:p>
    <w:bookmarkStart w:id="9" w:name="page10"/>
    <w:bookmarkEnd w:id="9"/>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87"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means that the Participant qualifies to receive long-term disability payments under the long-term disability insurance program, as it may be amended from time to time, of the Service Recipient to which the Participant provides services regardless of whether the Participant is covered by such policy. If the Service Recipient to which the Participant provides service does not have a long-term disability plan in place, “Disability” means that a Participant has been rendered permanently unable to carry out the responsibilities and functions of any position in the Company by reason of any medically determinable physical or mental impairment as documented by a hospital facility. A Participant will not be considered to have incurred a Disability unless he or she furnishes proof of such impairment sufficient to satisfy the Committee in its discretion.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a member of the board of directors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117" w:lineRule="exact"/>
        <w:rPr>
          <w:sz w:val="20"/>
          <w:szCs w:val="20"/>
          <w:color w:val="auto"/>
        </w:rPr>
      </w:pPr>
    </w:p>
    <w:p>
      <w:pPr>
        <w:ind w:right="20" w:firstLine="987"/>
        <w:spacing w:after="0" w:line="258"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one or more established stock exchanges or national market systems, including without limitation, The New York Stock Exchange and The Nasdaq Stock Market, the Fair Market Value of a Share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regularly quoted on an automated quotation system (including the OTC Bulletin Board) or by a recognized securities dealer, the Fair Market Value of a Share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ectPr>
          <w:pgSz w:w="11900" w:h="16838" w:orient="portrait"/>
          <w:cols w:equalWidth="0" w:num="1">
            <w:col w:w="10980"/>
          </w:cols>
          <w:pgMar w:left="440" w:top="270" w:right="479" w:bottom="1440" w:gutter="0" w:footer="0" w:header="0"/>
        </w:sectPr>
      </w:pPr>
    </w:p>
    <w:bookmarkStart w:id="10" w:name="page11"/>
    <w:bookmarkEnd w:id="10"/>
    <w:p>
      <w:pPr>
        <w:ind w:firstLine="987"/>
        <w:spacing w:after="0" w:line="25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operations and the general economic and market conditions since such transactions, (iii) an independent valuation of the Shares, or (iv) such other methodologies or information as the Committee determines to be indicative of Fair Market Value and relevant.</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Market Standoff Period</w:t>
      </w:r>
      <w:r>
        <w:rPr>
          <w:rFonts w:ascii="Times New Roman" w:cs="Times New Roman" w:eastAsia="Times New Roman" w:hAnsi="Times New Roman"/>
          <w:sz w:val="18"/>
          <w:szCs w:val="18"/>
          <w:color w:val="auto"/>
        </w:rPr>
        <w:t>” means the 180-day period (or such longer period as may be agreed to in writing by the Company) following the effective date of a registration statement of the Company filed under the Securities Act in connection with any initial public offering of Shares.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qualifies as a “Non-Employee Director” as defined in Rule 16b-3(b)(3) of the Exchange Act, or any successor definition adopted by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who, as a member of the Board, Consultant or Employee, has been granted an Award pursuant to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Legend Biotech Corporation 2020 Restricted Shares Plan, as it may be amended from time to time.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5 that is subject to certain restrictions and may be subject to risk of forfeiture.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the right granted to a Participant pursuant to Article 6 to receive a Share at a future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any Parent or Subsidiary of the Company and any Related Entity to which a Participant provides services as an Employee, a Consultant or a Director.</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ordinary shares in the capital of the Company, and such other securities of the Company that may be substituted for Shares pursuant to Article 8.</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directly or indirectly by the Company.</w:t>
      </w:r>
    </w:p>
    <w:p>
      <w:pPr>
        <w:sectPr>
          <w:pgSz w:w="11900" w:h="16838" w:orient="portrait"/>
          <w:cols w:equalWidth="0" w:num="1">
            <w:col w:w="10980"/>
          </w:cols>
          <w:pgMar w:left="440" w:top="270" w:right="479" w:bottom="1440" w:gutter="0" w:footer="0" w:header="0"/>
        </w:sectPr>
      </w:pPr>
    </w:p>
    <w:bookmarkStart w:id="11" w:name="page12"/>
    <w:bookmarkEnd w:id="11"/>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2.27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8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9 and Section 3.1(b), the maximum aggregate number of Shares, which may be issued pursuant to all Awards granted under the Plan, shall be equal to 26,000,000 Shares.</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vesting of any Award under the Plan, in payment of the purchase price thereof or tax withholding thereon, may again be granted or awarded hereunder, subject to the limitations of Section 3.1(a). If any Restricted Shares are forfeited by the Participant or repurchased by the Company, such Shares may again be granted or awarded hereunder, subject to the limitations of Section 3.1(a).</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 a one-to-one basis, the limitations of Section 3.1 shall be adjusted to reflect the distribution of American Depositary Shares in lieu of Shares.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Persons eligible to participate in this Plan include Employees, Consultants, and all members of the Board, as determined by the Committee.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Jurisdictions</w:t>
      </w:r>
      <w:r>
        <w:rPr>
          <w:rFonts w:ascii="Times New Roman" w:cs="Times New Roman" w:eastAsia="Times New Roman" w:hAnsi="Times New Roman"/>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ectPr>
          <w:pgSz w:w="11900" w:h="16838" w:orient="portrait"/>
          <w:cols w:equalWidth="0" w:num="1">
            <w:col w:w="10980"/>
          </w:cols>
          <w:pgMar w:left="440" w:top="270" w:right="47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Grant of Awards</w:t>
      </w:r>
      <w:r>
        <w:rPr>
          <w:rFonts w:ascii="Times New Roman" w:cs="Times New Roman" w:eastAsia="Times New Roman" w:hAnsi="Times New Roman"/>
          <w:sz w:val="18"/>
          <w:szCs w:val="18"/>
          <w:color w:val="auto"/>
        </w:rPr>
        <w:t>. No Award shall be granted to Participants:</w:t>
      </w:r>
    </w:p>
    <w:p>
      <w:pPr>
        <w:spacing w:after="0" w:line="117" w:lineRule="exact"/>
        <w:rPr>
          <w:sz w:val="20"/>
          <w:szCs w:val="20"/>
          <w:color w:val="auto"/>
        </w:rPr>
      </w:pPr>
    </w:p>
    <w:p>
      <w:pPr>
        <w:ind w:right="160" w:firstLine="987"/>
        <w:spacing w:after="0" w:line="312"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Company has, or reasonably believes there is, material non-public information or inside information that must be disclosed under the applicable laws and regulations, until such information has been published on website of the Company and the relevant stock exchange; or</w:t>
      </w:r>
    </w:p>
    <w:p>
      <w:pPr>
        <w:spacing w:after="0" w:line="139" w:lineRule="exact"/>
        <w:rPr>
          <w:rFonts w:ascii="Times New Roman" w:cs="Times New Roman" w:eastAsia="Times New Roman" w:hAnsi="Times New Roman"/>
          <w:sz w:val="17"/>
          <w:szCs w:val="17"/>
          <w:color w:val="auto"/>
        </w:rPr>
      </w:pPr>
    </w:p>
    <w:p>
      <w:pPr>
        <w:ind w:right="14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black-out period or equivalent period of time restricting and/or prohibiting the dealing of Shares by Participants before the publication of financial statements of the Company as provided in the rules of the applicable stock exchange; or</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dealings by Participants (including directors of any member of the Group) are prohibited under any applicable law or regulation or where the requisite approval from any applicable regulatory authorities has not been granted.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Restricted Shares Award Agreement</w:t>
      </w:r>
      <w:r>
        <w:rPr>
          <w:rFonts w:ascii="Times New Roman" w:cs="Times New Roman" w:eastAsia="Times New Roman" w:hAnsi="Times New Roman"/>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Award Agreement that restrictions or forfeiture and repurchase conditions relating to Restricted Shares will be waived in whole or in part in the event of termination resulting from specified causes, and (b) in other cases waive in whole or in part restrictions or forfeiture and repurchase conditions relating to Restricted Shares.</w:t>
      </w:r>
    </w:p>
    <w:p>
      <w:pPr>
        <w:spacing w:after="0" w:line="187"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Article 5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5.5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ectPr>
          <w:pgSz w:w="11900" w:h="16838" w:orient="portrait"/>
          <w:cols w:equalWidth="0" w:num="1">
            <w:col w:w="11000"/>
          </w:cols>
          <w:pgMar w:left="440" w:top="270" w:right="4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76"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Performance Objectives and Other Terms</w:t>
      </w:r>
      <w:r>
        <w:rPr>
          <w:rFonts w:ascii="Times New Roman" w:cs="Times New Roman" w:eastAsia="Times New Roman" w:hAnsi="Times New Roman"/>
          <w:sz w:val="17"/>
          <w:szCs w:val="17"/>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14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Form and Timing of Payment of Restricted Share Units</w:t>
      </w:r>
      <w:r>
        <w:rPr>
          <w:rFonts w:ascii="Times New Roman" w:cs="Times New Roman" w:eastAsia="Times New Roman" w:hAnsi="Times New Roman"/>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Unit Award Agreement that restrictions or forfeiture and repurchase conditions relating to Restricted Share Units will be waived in whole or in part in the event of termination resulting from specified causes, and (b) in other cases waive in whole or in part restrictions or forfeiture and repurchase conditions relating to Restricted Share Units.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 Transferability; Limited Exception to 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 Unless otherwise expressly provided in (or pursuant to) this Section 7.2, by Applicable Laws and by the Award Agreement, as the same may be amended:</w:t>
      </w:r>
    </w:p>
    <w:p>
      <w:pPr>
        <w:spacing w:after="0" w:line="54" w:lineRule="exact"/>
        <w:rPr>
          <w:sz w:val="20"/>
          <w:szCs w:val="20"/>
          <w:color w:val="auto"/>
        </w:rPr>
      </w:pPr>
    </w:p>
    <w:p>
      <w:pPr>
        <w:ind w:right="480" w:firstLine="1428"/>
        <w:spacing w:after="0" w:line="282"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are non-transferable and will not be subject in any manner to sale, transfer, anticipation, alienation, assignment, pledge, encumbrance or charge;</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will be exercised only by the Participant; and</w:t>
      </w:r>
    </w:p>
    <w:p>
      <w:pPr>
        <w:spacing w:after="0" w:line="225" w:lineRule="exact"/>
        <w:rPr>
          <w:rFonts w:ascii="Times New Roman" w:cs="Times New Roman" w:eastAsia="Times New Roman" w:hAnsi="Times New Roman"/>
          <w:sz w:val="18"/>
          <w:szCs w:val="18"/>
          <w:color w:val="auto"/>
        </w:rPr>
      </w:pPr>
    </w:p>
    <w:p>
      <w:pPr>
        <w:ind w:right="340" w:firstLine="1428"/>
        <w:spacing w:after="0" w:line="282"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or Shares issuable pursuant to an Award will be delivered only to (or for the account of), and, in the case of Shares, registered in the name of, the Participant.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 addition, the Shares shall be subject to the restrictions set forth in the applicable Award Agreement.</w:t>
      </w:r>
    </w:p>
    <w:p>
      <w:pPr>
        <w:sectPr>
          <w:pgSz w:w="11900" w:h="16838" w:orient="portrait"/>
          <w:cols w:equalWidth="0" w:num="1">
            <w:col w:w="10980"/>
          </w:cols>
          <w:pgMar w:left="440" w:top="266" w:right="47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7.2.2 </w:t>
      </w:r>
      <w:r>
        <w:rPr>
          <w:rFonts w:ascii="Times New Roman" w:cs="Times New Roman" w:eastAsia="Times New Roman" w:hAnsi="Times New Roman"/>
          <w:sz w:val="18"/>
          <w:szCs w:val="18"/>
          <w:u w:val="single" w:color="auto"/>
          <w:color w:val="auto"/>
        </w:rPr>
        <w:t>Further Exceptions to Limits on Transfer</w:t>
      </w:r>
      <w:r>
        <w:rPr>
          <w:rFonts w:ascii="Times New Roman" w:cs="Times New Roman" w:eastAsia="Times New Roman" w:hAnsi="Times New Roman"/>
          <w:sz w:val="18"/>
          <w:szCs w:val="18"/>
          <w:color w:val="auto"/>
        </w:rPr>
        <w:t>. The exercise and transfer restrictions in Section 7.2.1 will not apply to:</w:t>
      </w:r>
    </w:p>
    <w:p>
      <w:pPr>
        <w:spacing w:after="0" w:line="117" w:lineRule="exact"/>
        <w:rPr>
          <w:sz w:val="20"/>
          <w:szCs w:val="20"/>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or a Subsidiary;</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gift to “immediate family” as that term is defined in SEC Rule 16a-1(e) promulgated under the Exchange Act;</w:t>
      </w:r>
    </w:p>
    <w:p>
      <w:pPr>
        <w:spacing w:after="0" w:line="225" w:lineRule="exact"/>
        <w:rPr>
          <w:rFonts w:ascii="Times New Roman" w:cs="Times New Roman" w:eastAsia="Times New Roman" w:hAnsi="Times New Roman"/>
          <w:sz w:val="18"/>
          <w:szCs w:val="18"/>
          <w:color w:val="auto"/>
        </w:rPr>
      </w:pPr>
    </w:p>
    <w:p>
      <w:pPr>
        <w:ind w:right="180" w:firstLine="1428"/>
        <w:spacing w:after="0" w:line="312" w:lineRule="auto"/>
        <w:tabs>
          <w:tab w:leader="none" w:pos="167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w:t>
      </w:r>
    </w:p>
    <w:p>
      <w:pPr>
        <w:spacing w:after="0" w:line="139" w:lineRule="exact"/>
        <w:rPr>
          <w:rFonts w:ascii="Times New Roman" w:cs="Times New Roman" w:eastAsia="Times New Roman" w:hAnsi="Times New Roman"/>
          <w:sz w:val="17"/>
          <w:szCs w:val="17"/>
          <w:color w:val="auto"/>
        </w:rPr>
      </w:pPr>
    </w:p>
    <w:p>
      <w:pPr>
        <w:ind w:right="160" w:firstLine="1428"/>
        <w:spacing w:after="0" w:line="282" w:lineRule="auto"/>
        <w:tabs>
          <w:tab w:leader="none" w:pos="1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the Participant’s duly authorized legal representative; or</w:t>
      </w:r>
    </w:p>
    <w:p>
      <w:pPr>
        <w:spacing w:after="0" w:line="161" w:lineRule="exact"/>
        <w:rPr>
          <w:rFonts w:ascii="Times New Roman" w:cs="Times New Roman" w:eastAsia="Times New Roman" w:hAnsi="Times New Roman"/>
          <w:sz w:val="18"/>
          <w:szCs w:val="18"/>
          <w:color w:val="auto"/>
        </w:rPr>
      </w:pPr>
    </w:p>
    <w:p>
      <w:pPr>
        <w:ind w:right="40" w:firstLine="1428"/>
        <w:spacing w:after="0" w:line="256" w:lineRule="auto"/>
        <w:tabs>
          <w:tab w:leader="none" w:pos="1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may establish. Any such permitted transfer is subject to the conditions that (i) the Committee receives evidence that the transfer is being made for estate and/or tax planning purposes and on a basis consistent with the Company’s lawful issue of securities and (ii) the Committee has not in its absolute discretion determined that such evidence is insufficient or otherwise unsatisfactory.</w:t>
      </w:r>
    </w:p>
    <w:p>
      <w:pPr>
        <w:spacing w:after="0" w:line="187"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Notwithstanding anything else in this Section 7.2.2 to the contrary, but subject to compliance with all Applicable Laws,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Notwithstanding Section 7.2,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w:t>
      </w:r>
    </w:p>
    <w:p>
      <w:pPr>
        <w:sectPr>
          <w:pgSz w:w="11900" w:h="16838" w:orient="portrait"/>
          <w:cols w:equalWidth="0" w:num="1">
            <w:col w:w="10980"/>
          </w:cols>
          <w:pgMar w:left="440" w:top="270" w:right="47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other foreign currencies, the exchange rate as selected by the Committee on the date of exercise.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Section 8, the Committee may, in its absolute discretion, make such adjustments in the number and class of Shares subject to Awards outstanding on the date on which such change occurs and in such other terms of each Award as the Committee may consider appropriate to prevent dilution or enlargement of rights.</w:t>
      </w:r>
    </w:p>
    <w:p>
      <w:pPr>
        <w:sectPr>
          <w:pgSz w:w="11900" w:h="16838" w:orient="portrait"/>
          <w:cols w:equalWidth="0" w:num="1">
            <w:col w:w="11000"/>
          </w:cols>
          <w:pgMar w:left="440" w:top="270" w:right="459" w:bottom="1440" w:gutter="0" w:footer="0" w:header="0"/>
        </w:sectPr>
      </w:pPr>
    </w:p>
    <w:bookmarkStart w:id="16" w:name="page17"/>
    <w:bookmarkEnd w:id="16"/>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Prior to the Trading Date, the Plan shall be administered by the Board. On and after the Trading Date, the Plan shall be administered by the compensation committee of the Board, which may delegate its duties and powers in whole or in part to any subcommittee thereof consisting solely of at least two individuals who are intended to qualify as “Non-Employee Directors” within the meaning of Rule 16b-3 under the Act (or any successor rule thereto) and as “independent directors” as defined in the Listing Rules of the Nasdaq Stock Market or the applicable corporate governance rules of the relevant stock exchange. Any grant or amendment of Awards to any Committee member shall then require an affirmative vote of a majority of the Board members who are not on the Committee. Notwithstanding the foregoing, the compensation committee of the Board may delegate authority, subject to all Applicable Laws, to any person to take such ministerial actions as may be necessary to implement the compensation committee’s administration of the Plan. “Applicable Laws” means all applicable laws, rules, regulations and requirements, including, but not limited to, all applicable laws of the Cayman Islands and any applicable stock exchange rules or regulations, as these may be in effect from time to time.</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A majority of the Committee shall constitute a quorum.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Authority of the Committee</w:t>
      </w:r>
      <w:r>
        <w:rPr>
          <w:rFonts w:ascii="Times New Roman" w:cs="Times New Roman" w:eastAsia="Times New Roman" w:hAnsi="Times New Roman"/>
          <w:sz w:val="18"/>
          <w:szCs w:val="18"/>
          <w:color w:val="auto"/>
        </w:rPr>
        <w:t>. Subject to any specific designation in the Plan, the Committee has the exclusive power, authority and discretion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 to receive Awards;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225"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79"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Participant;</w:t>
      </w:r>
    </w:p>
    <w:p>
      <w:pPr>
        <w:sectPr>
          <w:pgSz w:w="11900" w:h="16838" w:orient="portrait"/>
          <w:cols w:equalWidth="0" w:num="1">
            <w:col w:w="11000"/>
          </w:cols>
          <w:pgMar w:left="440" w:top="270" w:right="459" w:bottom="1440" w:gutter="0" w:footer="0" w:header="0"/>
        </w:sectPr>
      </w:pPr>
    </w:p>
    <w:bookmarkStart w:id="17" w:name="page18"/>
    <w:bookmarkEnd w:id="17"/>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decide all other matters that must be determined in connection with an Award;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as it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or any Award Agreement; and</w:t>
      </w:r>
    </w:p>
    <w:p>
      <w:pPr>
        <w:spacing w:after="0" w:line="225" w:lineRule="exact"/>
        <w:rPr>
          <w:rFonts w:ascii="Times New Roman" w:cs="Times New Roman" w:eastAsia="Times New Roman" w:hAnsi="Times New Roman"/>
          <w:sz w:val="18"/>
          <w:szCs w:val="18"/>
          <w:color w:val="auto"/>
        </w:rPr>
      </w:pPr>
    </w:p>
    <w:p>
      <w:pPr>
        <w:ind w:right="680" w:firstLine="987"/>
        <w:spacing w:after="0" w:line="282" w:lineRule="auto"/>
        <w:tabs>
          <w:tab w:leader="none" w:pos="12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Committee deems necessary or advisable to administer the Plan.</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Plan shall become effective on the date on which the Plan is approved by the shareholders of the Company according to its Memorandum of Association and Articles of Association (the “Effective Date”).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29"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With the approval of the Board, at any time and from time to time, the Committee may terminate, amend or modify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10), (ii) permits the Committee to extend the term of the Plan, or (iii) results in a material increase in benefits or a change in eligibility requirements.</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with respect to amendments made pursuant to Section 11.1, no termination, amendment, or modification of the Plan shall adversely affect in any material way any Award previously granted pursuant to the Plan without the prior written consent of the Participant.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A Participant shall agree that, if so requested by the Company in connection with any registration of the offering of any securities of the Company under the Securities Act or any applicable United States state laws, the Participant shall not sell or otherwise transfer any Shares or other securities of the Company during the Market Standoff Period. The Company may impose stop-transfer instructions with respect to securities subject to the foregoing restrictions until the end of such Market Standoff Period and these restrictions shall be binding on any transferee of such Shares. Notwithstanding the foregoing, the Market Standoff Period may be extended for up to such number of additional days as is deemed necessary by the Company.</w:t>
      </w:r>
    </w:p>
    <w:p>
      <w:pPr>
        <w:sectPr>
          <w:pgSz w:w="11900" w:h="16838" w:orient="portrait"/>
          <w:cols w:equalWidth="0" w:num="1">
            <w:col w:w="11000"/>
          </w:cols>
          <w:pgMar w:left="440" w:top="270" w:right="459" w:bottom="1440" w:gutter="0" w:footer="0" w:header="0"/>
        </w:sectPr>
      </w:pPr>
    </w:p>
    <w:bookmarkStart w:id="18" w:name="page19"/>
    <w:bookmarkEnd w:id="18"/>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 fact issued to such person in connection with such Award.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the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9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9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Subsidiaries.</w:t>
      </w:r>
    </w:p>
    <w:p>
      <w:pPr>
        <w:sectPr>
          <w:pgSz w:w="11900" w:h="16838" w:orient="portrait"/>
          <w:cols w:equalWidth="0" w:num="1">
            <w:col w:w="10980"/>
          </w:cols>
          <w:pgMar w:left="440" w:top="270" w:right="479" w:bottom="1440" w:gutter="0" w:footer="0" w:header="0"/>
        </w:sectPr>
      </w:pPr>
    </w:p>
    <w:bookmarkStart w:id="19" w:name="page20"/>
    <w:bookmarkEnd w:id="19"/>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12.10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 Agreements shall be construed in accordance with and governed by the laws of the Cayman Islands.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Committee determines that any Award granted under the Plan is or may become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the Award Agreement evidencing such Award shall incorporate the terms and conditions required by Section 409A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To the extent applicable, the Plan and the Award Agreements shall be interpreted in accordance with Section 409A of the Code and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Treasury regulations and other interpretative guidance issued thereunder, including without limitation any such regulation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guidance that may be issued after the Effective Date. Notwithstanding any provision of the Plan to the contrary, in the event that following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Committee determines that any Award may be subject to Section 409A of the Code and related Department of Treasury guidance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Department of Treasury guidance as may be issued after the Effective Date), the Committee may adopt such amendments to the Plan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Award agreement or adopt other policies and procedures (including amendments, policies and procedures with retroactive effect), or take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actions, that the Committee determines are necessary or appropriate to (a) exempt the Award from Section 409A of the Code and/or 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tax treatment of the benefits provided with respect to the Award, or (b) comply with the requirements of Section 409A of the Code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Department of Treasury guidance.</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Appendices</w:t>
      </w:r>
      <w:r>
        <w:rPr>
          <w:rFonts w:ascii="Times New Roman" w:cs="Times New Roman" w:eastAsia="Times New Roman" w:hAnsi="Times New Roman"/>
          <w:sz w:val="18"/>
          <w:szCs w:val="18"/>
          <w:color w:val="auto"/>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supplements shall increase the share limitation contained in Section 3.1 of the Plan without the approval of the Board.</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LEGEND BIOTECH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RESTRICTED SHARE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Staff ID/PRC personal ID: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Plan:2020 Restricted Share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 restricted share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177165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line="286" w:lineRule="exact"/>
        <w:rPr>
          <w:sz w:val="20"/>
          <w:szCs w:val="20"/>
          <w:color w:val="auto"/>
        </w:rPr>
      </w:pPr>
    </w:p>
    <w:p>
      <w:pPr>
        <w:ind w:right="40" w:firstLine="436"/>
        <w:spacing w:after="0" w:line="262" w:lineRule="auto"/>
        <w:tabs>
          <w:tab w:leader="none" w:pos="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Effective on the Grant Date, you have been granted the number of restricted share units (the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designated above, each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receive one (1) ordinary share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of Legend Biotech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upon vesting, in accordance with the provisions of the 2020 Restricted Share Plan of the Company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subject to the restrictions, terms and conditions set forth herein. All terms used but not defined herein shall have the meanings assigned to them in the Plan.</w:t>
      </w:r>
    </w:p>
    <w:p>
      <w:pPr>
        <w:spacing w:after="0" w:line="176"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Subject to the terms in this Agreement, the RSUs will vest in accordance with the following schedule:</w:t>
      </w:r>
    </w:p>
    <w:p>
      <w:pPr>
        <w:spacing w:after="0" w:line="25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Vesting:</w:t>
      </w:r>
      <w:r>
        <w:rPr>
          <w:sz w:val="20"/>
          <w:szCs w:val="20"/>
          <w:color w:val="auto"/>
        </w:rPr>
        <w:tab/>
      </w:r>
      <w:r>
        <w:rPr>
          <w:rFonts w:ascii="Times New Roman" w:cs="Times New Roman" w:eastAsia="Times New Roman" w:hAnsi="Times New Roman"/>
          <w:sz w:val="18"/>
          <w:szCs w:val="18"/>
          <w:color w:val="auto"/>
        </w:rPr>
        <w:t>You will receive a benefit with respect to an RSU only if it vests. The Liquidity Event Requirement and the Service-Based</w:t>
      </w:r>
    </w:p>
    <w:p>
      <w:pPr>
        <w:spacing w:after="0" w:line="31" w:lineRule="exact"/>
        <w:rPr>
          <w:sz w:val="20"/>
          <w:szCs w:val="20"/>
          <w:color w:val="auto"/>
        </w:rPr>
      </w:pPr>
    </w:p>
    <w:p>
      <w:pPr>
        <w:ind w:left="1760"/>
        <w:spacing w:after="0" w:line="255" w:lineRule="auto"/>
        <w:rPr>
          <w:sz w:val="20"/>
          <w:szCs w:val="20"/>
          <w:color w:val="auto"/>
        </w:rPr>
      </w:pPr>
      <w:r>
        <w:rPr>
          <w:rFonts w:ascii="Times New Roman" w:cs="Times New Roman" w:eastAsia="Times New Roman" w:hAnsi="Times New Roman"/>
          <w:sz w:val="18"/>
          <w:szCs w:val="18"/>
          <w:color w:val="auto"/>
        </w:rPr>
        <w:t>Requirement must be satisfied on or before the applicable Expiration Date specified above in order for an RSU to vest. An RSU shall actually vest (and therefore become a “</w:t>
      </w:r>
      <w:r>
        <w:rPr>
          <w:rFonts w:ascii="Times New Roman" w:cs="Times New Roman" w:eastAsia="Times New Roman" w:hAnsi="Times New Roman"/>
          <w:sz w:val="18"/>
          <w:szCs w:val="18"/>
          <w:b w:val="1"/>
          <w:bCs w:val="1"/>
          <w:i w:val="1"/>
          <w:iCs w:val="1"/>
          <w:color w:val="auto"/>
        </w:rPr>
        <w:t>Vested RSU</w:t>
      </w:r>
      <w:r>
        <w:rPr>
          <w:rFonts w:ascii="Times New Roman" w:cs="Times New Roman" w:eastAsia="Times New Roman" w:hAnsi="Times New Roman"/>
          <w:sz w:val="18"/>
          <w:szCs w:val="18"/>
          <w:color w:val="auto"/>
        </w:rPr>
        <w:t>”) on the first date upon which both of the Service-Based Requirement and the Liquidity Event Requirement are satisfied with respect to that particular RSU.</w:t>
      </w:r>
    </w:p>
    <w:p>
      <w:pPr>
        <w:spacing w:after="0" w:line="7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Liquidity Event</w:t>
      </w:r>
      <w:r>
        <w:rPr>
          <w:sz w:val="20"/>
          <w:szCs w:val="20"/>
          <w:color w:val="auto"/>
        </w:rPr>
        <w:tab/>
      </w:r>
      <w:r>
        <w:rPr>
          <w:rFonts w:ascii="Times New Roman" w:cs="Times New Roman" w:eastAsia="Times New Roman" w:hAnsi="Times New Roman"/>
          <w:sz w:val="17"/>
          <w:szCs w:val="17"/>
          <w:color w:val="auto"/>
        </w:rPr>
        <w:t>The Liquidity Event Requirement will be satisfied as to any then-outstanding RSUs on the first to occur of: (1) a Corporate</w:t>
      </w:r>
    </w:p>
    <w:p>
      <w:pPr>
        <w:spacing w:after="0" w:line="3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Requirement:</w:t>
      </w:r>
      <w:r>
        <w:rPr>
          <w:sz w:val="20"/>
          <w:szCs w:val="20"/>
          <w:color w:val="auto"/>
        </w:rPr>
        <w:tab/>
      </w:r>
      <w:r>
        <w:rPr>
          <w:rFonts w:ascii="Times New Roman" w:cs="Times New Roman" w:eastAsia="Times New Roman" w:hAnsi="Times New Roman"/>
          <w:sz w:val="18"/>
          <w:szCs w:val="18"/>
          <w:color w:val="auto"/>
        </w:rPr>
        <w:t>Transaction; or (2) the effective date of a registration statement for an initial public offering of the Company’s Shares.</w:t>
      </w:r>
    </w:p>
    <w:p>
      <w:pPr>
        <w:spacing w:after="0" w:line="108"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Service-Based</w:t>
      </w:r>
      <w:r>
        <w:rPr>
          <w:sz w:val="20"/>
          <w:szCs w:val="20"/>
          <w:color w:val="auto"/>
        </w:rPr>
        <w:tab/>
      </w:r>
      <w:r>
        <w:rPr>
          <w:rFonts w:ascii="Times New Roman" w:cs="Times New Roman" w:eastAsia="Times New Roman" w:hAnsi="Times New Roman"/>
          <w:sz w:val="18"/>
          <w:szCs w:val="18"/>
          <w:color w:val="auto"/>
        </w:rPr>
        <w:t>The Service-Based Requirement will be satisfied in installments as to the RSUs as follows: One third (1/3) of the RSUs shall</w:t>
      </w:r>
    </w:p>
    <w:p>
      <w:pPr>
        <w:spacing w:after="0" w:line="3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Requirement:</w:t>
      </w:r>
      <w:r>
        <w:rPr>
          <w:sz w:val="20"/>
          <w:szCs w:val="20"/>
          <w:color w:val="auto"/>
        </w:rPr>
        <w:tab/>
      </w:r>
      <w:r>
        <w:rPr>
          <w:rFonts w:ascii="Times New Roman" w:cs="Times New Roman" w:eastAsia="Times New Roman" w:hAnsi="Times New Roman"/>
          <w:sz w:val="18"/>
          <w:szCs w:val="18"/>
          <w:color w:val="auto"/>
        </w:rPr>
        <w:t>vest on the first anniversary of the Company Vesting Date that next follows the Vesting Commencement Date, and one- twelfth</w:t>
      </w:r>
    </w:p>
    <w:p>
      <w:pPr>
        <w:spacing w:after="0" w:line="9" w:lineRule="exact"/>
        <w:rPr>
          <w:sz w:val="20"/>
          <w:szCs w:val="20"/>
          <w:color w:val="auto"/>
        </w:rPr>
      </w:pPr>
    </w:p>
    <w:p>
      <w:pPr>
        <w:ind w:left="1760" w:right="160"/>
        <w:spacing w:after="0" w:line="273" w:lineRule="auto"/>
        <w:rPr>
          <w:sz w:val="20"/>
          <w:szCs w:val="20"/>
          <w:color w:val="auto"/>
        </w:rPr>
      </w:pPr>
      <w:r>
        <w:rPr>
          <w:rFonts w:ascii="Times New Roman" w:cs="Times New Roman" w:eastAsia="Times New Roman" w:hAnsi="Times New Roman"/>
          <w:sz w:val="17"/>
          <w:szCs w:val="17"/>
          <w:color w:val="auto"/>
        </w:rPr>
        <w:t>(1/12th) of the RSUs shall vest on each quarterly Company Vesting Date thereafter, assuming you have not had a Termination of Service (as defined below) prior to such date. For the avoidance of doubt, once you have had a Termination of Service, no additional RSUs shall be eligible to become Vested RSUs, and any RSUs which are not Vested RSUs as of the date of such Termination of Service shall be forfeited to the Company and you shall have no further rights with respect to such RSUs.</w:t>
      </w:r>
    </w:p>
    <w:p>
      <w:pPr>
        <w:spacing w:after="0" w:line="1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Vesting Date</w:t>
      </w:r>
      <w:r>
        <w:rPr>
          <w:rFonts w:ascii="Times New Roman" w:cs="Times New Roman" w:eastAsia="Times New Roman" w:hAnsi="Times New Roman"/>
          <w:sz w:val="18"/>
          <w:szCs w:val="18"/>
          <w:color w:val="auto"/>
        </w:rPr>
        <w:t>” means each [February 20, May 20, August 20, and November 20].</w:t>
      </w:r>
    </w:p>
    <w:p>
      <w:pPr>
        <w:spacing w:after="0" w:line="239" w:lineRule="exact"/>
        <w:rPr>
          <w:sz w:val="20"/>
          <w:szCs w:val="20"/>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after Vesting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320" w:firstLine="987"/>
        <w:spacing w:after="0" w:line="282" w:lineRule="auto"/>
        <w:tabs>
          <w:tab w:leader="none" w:pos="124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RSUs is intended to comply with Treasury Regulations Section 1.409A-1(b)(4) and will be construed and administered in such a manner.</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Subject to the satisfaction of the Withholding Obligation set forth in Section 9 of this Agreement, in the event an RSU vests, the Company shall issue to you one (1) Share for each RSU that vests on the applicable vesting date. Each issuance date determined by this paragraph is referred to as an “</w:t>
      </w:r>
      <w:r>
        <w:rPr>
          <w:rFonts w:ascii="Times New Roman" w:cs="Times New Roman" w:eastAsia="Times New Roman" w:hAnsi="Times New Roman"/>
          <w:sz w:val="18"/>
          <w:szCs w:val="18"/>
          <w:b w:val="1"/>
          <w:bCs w:val="1"/>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type w:val="continuous"/>
        </w:sectPr>
      </w:pPr>
    </w:p>
    <w:bookmarkStart w:id="21" w:name="page22"/>
    <w:bookmarkEnd w:id="21"/>
    <w:p>
      <w:pPr>
        <w:ind w:left="1264" w:hanging="273"/>
        <w:spacing w:after="0"/>
        <w:tabs>
          <w:tab w:leader="none" w:pos="126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Original Issuance Date falls on a date that is not a business day, delivery shall instead occur on the next following business day.</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if:</w:t>
      </w:r>
    </w:p>
    <w:p>
      <w:pPr>
        <w:spacing w:after="0" w:line="98" w:lineRule="exact"/>
        <w:rPr>
          <w:rFonts w:ascii="Times New Roman" w:cs="Times New Roman" w:eastAsia="Times New Roman" w:hAnsi="Times New Roman"/>
          <w:sz w:val="18"/>
          <w:szCs w:val="18"/>
          <w:b w:val="1"/>
          <w:bCs w:val="1"/>
          <w:color w:val="auto"/>
        </w:rPr>
      </w:pPr>
    </w:p>
    <w:p>
      <w:pPr>
        <w:ind w:left="4" w:right="60" w:firstLine="1428"/>
        <w:spacing w:after="0" w:line="281" w:lineRule="auto"/>
        <w:tabs>
          <w:tab w:leader="none" w:pos="1651" w:val="left"/>
        </w:tabs>
        <w:numPr>
          <w:ilvl w:val="2"/>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w:t>
      </w:r>
    </w:p>
    <w:p>
      <w:pPr>
        <w:spacing w:after="0" w:line="164" w:lineRule="exact"/>
        <w:rPr>
          <w:rFonts w:ascii="Times New Roman" w:cs="Times New Roman" w:eastAsia="Times New Roman" w:hAnsi="Times New Roman"/>
          <w:sz w:val="17"/>
          <w:szCs w:val="17"/>
          <w:b w:val="1"/>
          <w:bCs w:val="1"/>
          <w:color w:val="auto"/>
        </w:rPr>
      </w:pPr>
    </w:p>
    <w:p>
      <w:pPr>
        <w:jc w:val="both"/>
        <w:ind w:left="4" w:right="200" w:firstLine="1428"/>
        <w:spacing w:after="0" w:line="276" w:lineRule="auto"/>
        <w:tabs>
          <w:tab w:leader="none" w:pos="1701" w:val="left"/>
        </w:tabs>
        <w:numPr>
          <w:ilvl w:val="2"/>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either (1) a Withholding Obligation does not apply, or (2) the Company decides, prior to the Original Issuance Date, (A) not to satisfy the Withholding Obligation by withholding Shares from the Shares otherwise due, on the Original Issuance Date, to you under this award, and</w:t>
      </w:r>
    </w:p>
    <w:p>
      <w:pPr>
        <w:ind w:left="4" w:right="520" w:hanging="4"/>
        <w:spacing w:after="0" w:line="260"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permit you to enter into a “same day sale” commitment with a broker-dealer pursuant to Section 9 of this Agreement (including but not limited to a commitment under a 10b5-1 Arrangement) and (C) not to permit you to pay your Withholding Obligation in cash,</w:t>
      </w:r>
    </w:p>
    <w:p>
      <w:pPr>
        <w:spacing w:after="0" w:line="181"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under this Award are no longer subject to a “substantial risk of forfeiture” within the meaning of Treasury Regulations Section 1.409A-1(d).</w:t>
      </w:r>
    </w:p>
    <w:p>
      <w:pPr>
        <w:spacing w:after="0" w:line="183" w:lineRule="exact"/>
        <w:rPr>
          <w:sz w:val="20"/>
          <w:szCs w:val="20"/>
          <w:color w:val="auto"/>
        </w:rPr>
      </w:pPr>
    </w:p>
    <w:p>
      <w:pPr>
        <w:ind w:left="4" w:firstLine="436"/>
        <w:spacing w:after="0" w:line="259" w:lineRule="auto"/>
        <w:tabs>
          <w:tab w:leader="none" w:pos="6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 and Share Certificate</w:t>
      </w:r>
      <w:r>
        <w:rPr>
          <w:rFonts w:ascii="Times New Roman" w:cs="Times New Roman" w:eastAsia="Times New Roman" w:hAnsi="Times New Roman"/>
          <w:sz w:val="18"/>
          <w:szCs w:val="18"/>
          <w:color w:val="auto"/>
        </w:rPr>
        <w:t>. The unvested portion of the RSUs will not be registered on the Company’s Register of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vested portion of the RSUs that will be distributed in whole Shares, the Company will issue the corresponding number of Shares to you and enter the your name into the Register of Members subject to Section 6. After the Company has entered your name into the Register of Members with respect to any Shares issued to you, it may, but is not obligated to, issue one or more share certificates, registered in your name and bearing such legend as the Company deems necessary and appropriate, evidencing such Shares issued.</w:t>
      </w:r>
    </w:p>
    <w:p>
      <w:pPr>
        <w:spacing w:after="0" w:line="179"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6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In the event your employment or service for the Company or any of its subsidiaries or affiliates to which you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services or by which you are employed as of the Grant Date (each a “</w:t>
      </w:r>
      <w:r>
        <w:rPr>
          <w:rFonts w:ascii="Times New Roman" w:cs="Times New Roman" w:eastAsia="Times New Roman" w:hAnsi="Times New Roman"/>
          <w:sz w:val="18"/>
          <w:szCs w:val="18"/>
          <w:b w:val="1"/>
          <w:bCs w:val="1"/>
          <w:i w:val="1"/>
          <w:iCs w:val="1"/>
          <w:color w:val="auto"/>
        </w:rPr>
        <w:t>Service Recipient</w:t>
      </w:r>
      <w:r>
        <w:rPr>
          <w:rFonts w:ascii="Times New Roman" w:cs="Times New Roman" w:eastAsia="Times New Roman" w:hAnsi="Times New Roman"/>
          <w:sz w:val="18"/>
          <w:szCs w:val="18"/>
          <w:color w:val="auto"/>
        </w:rPr>
        <w:t>”) is terminated for any reason, whether such termination is occasioned by you, by the Service Recipient, with or without cause, or by mutual agreement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your right to any unvested portion of the RSUs will terminate, and such unvested portion of the RSUs will cease to vest, as of the earlier of: (i) the date that you give or are provided with written notice of such termination, or (ii) if you are an employee of a Service Recipient, the date from which you are no longer actively employed and physically present on the premises of the Service Recipient, regardless of any notice period or period of pay in lieu of such notice required under any applicable statute or the common law.</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Conditions to Issuance of Shares</w:t>
      </w:r>
      <w:r>
        <w:rPr>
          <w:rFonts w:ascii="Times New Roman" w:cs="Times New Roman" w:eastAsia="Times New Roman" w:hAnsi="Times New Roman"/>
          <w:sz w:val="18"/>
          <w:szCs w:val="18"/>
          <w:color w:val="auto"/>
        </w:rPr>
        <w:t>. The Company shall not be required to issue Shares hereunder prior to fulfillment of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conditions: (a) the listing of such Shares or depositary shares representing such Shares on a stock exchange on which such class of stock is then listed; (b) the completion of any registration or other qualification of such Shares or depositary shares representing such Shares under any U.S. state or federal law or under the rulings or regulations of the U.S. Securities and Exchange Commission or any other governmental regulatory body, which the Committee shall, in its absolute discretion, deem necessary or advisable; (c) the obtaining of any approval or other clearance from any U.S., Cayman Islands or Chinese governmental agency, which the Committee shall, in its absolute discretion, determine to be necessary or advisable; and (d) the lapse of such reasonable period of time following any vesting date as the Committee may establish from time to time for reasons of administrative convenience. Furthermore, the Company will not be required to issue Shares hereunder prior to the expiration of the lock-up period in connection with the Company’s initial public offering. In addition, you agree that the Company may also impose other conditions or administrative measures to ensure or facilitate the compliance with any applicable law to which you or the Company is subject.</w:t>
      </w:r>
    </w:p>
    <w:p>
      <w:pPr>
        <w:sectPr>
          <w:pgSz w:w="11900" w:h="16838" w:orient="portrait"/>
          <w:cols w:equalWidth="0" w:num="1">
            <w:col w:w="11004"/>
          </w:cols>
          <w:pgMar w:left="436" w:top="270" w:right="459" w:bottom="1440" w:gutter="0" w:footer="0" w:header="0"/>
        </w:sectPr>
      </w:pPr>
    </w:p>
    <w:bookmarkStart w:id="22" w:name="page23"/>
    <w:bookmarkEnd w:id="22"/>
    <w:p>
      <w:pPr>
        <w:ind w:firstLine="436"/>
        <w:spacing w:after="0" w:line="262" w:lineRule="auto"/>
        <w:tabs>
          <w:tab w:leader="none" w:pos="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Rights</w:t>
      </w:r>
      <w:r>
        <w:rPr>
          <w:rFonts w:ascii="Times New Roman" w:cs="Times New Roman" w:eastAsia="Times New Roman" w:hAnsi="Times New Roman"/>
          <w:sz w:val="18"/>
          <w:szCs w:val="18"/>
          <w:color w:val="auto"/>
        </w:rPr>
        <w:t>. Neither you nor any person claiming under or through you will have any of the rights or privileges of a shareholder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respect of any Shares deliverable hereunder unless and until such Shares have been issued and registered on the Register of Members of the Company under your name. Subject to Section 8 below, after such issuance and registration, you will have all the rights of a shareholder of the Company with respect to voting of such Shares and receipt of dividends and distributions on such Shares.</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Is Not Transferable</w:t>
      </w:r>
      <w:r>
        <w:rPr>
          <w:rFonts w:ascii="Times New Roman" w:cs="Times New Roman" w:eastAsia="Times New Roman" w:hAnsi="Times New Roman"/>
          <w:sz w:val="18"/>
          <w:szCs w:val="18"/>
          <w:color w:val="auto"/>
        </w:rPr>
        <w:t>. Except pursuant to the written consent of the Committee, this award and the rights and privileges conferred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shall not be transferred, assigned or otherwise disposed of in any way (whether by operation of law or otherwise). Upon any attempt to transfer, assign or otherwise dispose of this award or any right or privilege conferred hereby, this award and the rights and privileges conferred hereby immediately will become null and void.</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the event of granting written consents for any transfer, the Committee will have the fullest discretion permitted by applicable law in deciding the extent to which, and stipulating terms and conditions under which, such transfer of this award may be allowed (including, but not limited to, the transfer of part or all of the RSUs). In the event of a transfer of part or all of the RSUs held by you as consented to by the Committee, you hereby acknowledge and agree that you have the obligation to ensure that the transferee will be subject to and comply with the same terms, conditions, requirements and restrictions imposed on you by the Company in connection with the RSUs granted hereunder.</w:t>
      </w:r>
    </w:p>
    <w:p>
      <w:pPr>
        <w:spacing w:after="0" w:line="179" w:lineRule="exact"/>
        <w:rPr>
          <w:sz w:val="20"/>
          <w:szCs w:val="20"/>
          <w:color w:val="auto"/>
        </w:rPr>
      </w:pPr>
    </w:p>
    <w:p>
      <w:pPr>
        <w:ind w:firstLine="436"/>
        <w:spacing w:after="0" w:line="252" w:lineRule="auto"/>
        <w:tabs>
          <w:tab w:leader="none" w:pos="6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 </w:t>
      </w:r>
      <w:r>
        <w:rPr>
          <w:rFonts w:ascii="Times New Roman" w:cs="Times New Roman" w:eastAsia="Times New Roman" w:hAnsi="Times New Roman"/>
          <w:sz w:val="18"/>
          <w:szCs w:val="18"/>
          <w:color w:val="auto"/>
        </w:rPr>
        <w:t>On each vesting date, and on or before the time you receive a distribution of the Shares in respect of your RSUs,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other time as reasonably requested by the Company in accordance with applicable tax laws, you hereby authorize any required withholding from the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By accepting this Award, you acknowledge and agree that the Company may, in its sole discretion, satisfy all or any portion of the Withholding Obligation relating to your RSUs by any of the following means or by a combination of such means: (i) causing you to pay any portion of the Withholding Obligation in cash; (ii) withholding from any compensation otherwise payable to you by the Company; (iii) withholding Shares from the Shares issued or otherwise issuable to you in connection with the Award with a Fair Market Value (measured as of the date Shares are issued pursuant to Section 3) equal to the amount of such Withholding Obligation; provided, however, that the number of such Shares so withheld will not exceed the amount necessary to satisfy the Withholding Obligation using the maximum statutory withholding rates for federal, state, local and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Shares or any other consideration pursuant to this Award. In the event the Withholding Obligation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w:t>
      </w:r>
    </w:p>
    <w:p>
      <w:pPr>
        <w:spacing w:after="0" w:line="189"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71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You acknowledge and consent to the collection, use, processing and transfer of personal data as described in this paragraph.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its affiliates and your employer hold certain personal information, including your name, home address and telephone number, date of birth, identification number, salary, nationality, job title, any shares awarded, cancelled, purchased, vested, unvested or outstanding in your favor, for the purpose of managing and administering the Plan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affiliates will transfer Data to</w:t>
      </w:r>
    </w:p>
    <w:p>
      <w:pPr>
        <w:sectPr>
          <w:pgSz w:w="11900" w:h="16838" w:orient="portrait"/>
          <w:cols w:equalWidth="0" w:num="1">
            <w:col w:w="11000"/>
          </w:cols>
          <w:pgMar w:left="440" w:top="266" w:right="45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third parties assisting the Company in the implementation, administration and management of the Plan. These recipients may be located in China or elsewhere such as the European Economic Area or the United States. You authorize them to receive, possess, use, retain and transfer the Data, in electronic or other forms, for the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 You may, at any time, review the Data, require any necessary amendments thereto or withdraw the consent herein in writing by contacting the Company; however, withdrawing the consent may affect your ability to participate in the Plan.</w:t>
      </w:r>
    </w:p>
    <w:p>
      <w:pPr>
        <w:spacing w:after="0" w:line="185" w:lineRule="exact"/>
        <w:rPr>
          <w:sz w:val="20"/>
          <w:szCs w:val="20"/>
          <w:color w:val="auto"/>
        </w:rPr>
      </w:pPr>
    </w:p>
    <w:p>
      <w:pPr>
        <w:ind w:right="80" w:firstLine="436"/>
        <w:spacing w:after="0" w:line="262" w:lineRule="auto"/>
        <w:tabs>
          <w:tab w:leader="none" w:pos="7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Voluntary Participation</w:t>
      </w:r>
      <w:r>
        <w:rPr>
          <w:rFonts w:ascii="Times New Roman" w:cs="Times New Roman" w:eastAsia="Times New Roman" w:hAnsi="Times New Roman"/>
          <w:sz w:val="18"/>
          <w:szCs w:val="18"/>
          <w:color w:val="auto"/>
        </w:rPr>
        <w:t>. Your participation in the Plan is voluntary. The value of the RSUs is an extraordinary item of compensation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scope of your employment contract, if any. As such, the RSUs are not part of normal or expected compensation for purposes of calculating any severance, resignation, redundancy, end of service payments, bonuses, long-service awards, pensions or retirement benefits or similar payments unless specifically and otherwise provided. Rather, the awarding of the RSUs under the Plan represents a mere investment opportunity.</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1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You hereby acknowledge and agree that, in the event of any dividend, share split, combination or exchange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of the Plan); (b) the terms and conditions of any outstanding Awards (including, without limitation, any applicable performance targets or criteria with respect thereto); and (c) the grant or exercise price per Share for any outstanding Awards under the Plan.</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78" w:lineRule="auto"/>
        <w:tabs>
          <w:tab w:leader="none" w:pos="71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Discretionary Plan</w:t>
      </w:r>
      <w:r>
        <w:rPr>
          <w:rFonts w:ascii="Times New Roman" w:cs="Times New Roman" w:eastAsia="Times New Roman" w:hAnsi="Times New Roman"/>
          <w:sz w:val="17"/>
          <w:szCs w:val="17"/>
          <w:color w:val="auto"/>
        </w:rPr>
        <w:t>. This RSU award is granted under and governed by the terms and conditions of the Plan. You acknowledge and agree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Plan is discretionary in nature and may be amended, cancelled or terminated by the Company, in its sole discretion, at any time. The grant of this RSU award under the Plan is a one-time benefit and does not create any contractual or other right to receive an award of RSUs or benefits in lieu of the award in the future. Future awards of RSUs, if any, will be at the sole discretion of the Company, including, but not limited to, the timing of the award, the number of RSUs awarded, and vesting provisions. By execution of this Agreement, you consent to the provisions of the Plan and this Agreement.</w:t>
      </w:r>
    </w:p>
    <w:p>
      <w:pPr>
        <w:spacing w:after="0" w:line="163"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Cayman Islands.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1000"/>
          </w:cols>
          <w:pgMar w:left="440" w:top="270" w:right="459" w:bottom="1440" w:gutter="0" w:footer="0" w:header="0"/>
        </w:sectPr>
      </w:pPr>
    </w:p>
    <w:bookmarkStart w:id="24" w:name="page25"/>
    <w:bookmarkEnd w:id="24"/>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LEGEND BIOTECH CORPORATION</w:t>
      </w:r>
    </w:p>
    <w:p>
      <w:pPr>
        <w:spacing w:after="0" w:line="200" w:lineRule="exact"/>
        <w:rPr>
          <w:sz w:val="20"/>
          <w:szCs w:val="20"/>
          <w:color w:val="auto"/>
        </w:rPr>
      </w:pPr>
    </w:p>
    <w:p>
      <w:pPr>
        <w:spacing w:after="0" w:line="3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4th Floor, Harbour Place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103 South Church Street, P.O. Box 10240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Grand Cayman KY1-1002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 November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Legend Biotech Corporation (the “Company”)</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14 November 2024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15,000,000 ordinary shares, par value US$0.0001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Company’s 2020 Restricted Shares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third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and restated memorandum and articles of association of the Company adopted by special resolution passed on 26 May 2020 and effective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immediately prior to the completion of the Company’s initial public offering of American Depositary Shares representing its Shares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the minutes (the “</w:t>
      </w:r>
      <w:r>
        <w:rPr>
          <w:rFonts w:ascii="Times New Roman" w:cs="Times New Roman" w:eastAsia="Times New Roman" w:hAnsi="Times New Roman"/>
          <w:sz w:val="18"/>
          <w:szCs w:val="18"/>
          <w:b w:val="1"/>
          <w:bCs w:val="1"/>
          <w:color w:val="auto"/>
        </w:rPr>
        <w:t>Board Minutes</w:t>
      </w:r>
      <w:r>
        <w:rPr>
          <w:rFonts w:ascii="Times New Roman" w:cs="Times New Roman" w:eastAsia="Times New Roman" w:hAnsi="Times New Roman"/>
          <w:sz w:val="18"/>
          <w:szCs w:val="18"/>
          <w:color w:val="auto"/>
        </w:rPr>
        <w:t>”) of the meetings of the board of directors of the Company held on 10 April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 May 2020 and 14 December 2023 (the “</w:t>
      </w:r>
      <w:r>
        <w:rPr>
          <w:rFonts w:ascii="Times New Roman" w:cs="Times New Roman" w:eastAsia="Times New Roman" w:hAnsi="Times New Roman"/>
          <w:sz w:val="18"/>
          <w:szCs w:val="18"/>
          <w:b w:val="1"/>
          <w:bCs w:val="1"/>
          <w:color w:val="auto"/>
        </w:rPr>
        <w:t>Board Meetings</w:t>
      </w:r>
      <w:r>
        <w:rPr>
          <w:rFonts w:ascii="Times New Roman" w:cs="Times New Roman" w:eastAsia="Times New Roman" w:hAnsi="Times New Roman"/>
          <w:sz w:val="18"/>
          <w:szCs w:val="18"/>
          <w:color w:val="auto"/>
        </w:rPr>
        <w:t>”), the written resolutions of the shareholders of the Company dated 26 May 2020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 and the minutes (the “</w:t>
      </w:r>
      <w:r>
        <w:rPr>
          <w:rFonts w:ascii="Times New Roman" w:cs="Times New Roman" w:eastAsia="Times New Roman" w:hAnsi="Times New Roman"/>
          <w:sz w:val="18"/>
          <w:szCs w:val="18"/>
          <w:b w:val="1"/>
          <w:bCs w:val="1"/>
          <w:color w:val="auto"/>
        </w:rPr>
        <w:t>Shareholders Minutes</w:t>
      </w:r>
      <w:r>
        <w:rPr>
          <w:rFonts w:ascii="Times New Roman" w:cs="Times New Roman" w:eastAsia="Times New Roman" w:hAnsi="Times New Roman"/>
          <w:sz w:val="18"/>
          <w:szCs w:val="18"/>
          <w:color w:val="auto"/>
        </w:rPr>
        <w:t>”) of the annual general meeting of the shareholders of the Company held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21 October 2024 (the “</w:t>
      </w:r>
      <w:r>
        <w:rPr>
          <w:rFonts w:ascii="Times New Roman" w:cs="Times New Roman" w:eastAsia="Times New Roman" w:hAnsi="Times New Roman"/>
          <w:sz w:val="18"/>
          <w:szCs w:val="18"/>
          <w:b w:val="1"/>
          <w:bCs w:val="1"/>
          <w:color w:val="auto"/>
        </w:rPr>
        <w:t>Shareholders Meeting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67"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authorized.</w:t>
      </w:r>
    </w:p>
    <w:p>
      <w:pPr>
        <w:spacing w:after="0" w:line="130" w:lineRule="exact"/>
        <w:rPr>
          <w:rFonts w:ascii="Times New Roman" w:cs="Times New Roman" w:eastAsia="Times New Roman" w:hAnsi="Times New Roman"/>
          <w:sz w:val="18"/>
          <w:szCs w:val="18"/>
          <w:color w:val="auto"/>
        </w:rPr>
      </w:pPr>
    </w:p>
    <w:p>
      <w:pPr>
        <w:jc w:val="both"/>
        <w:ind w:left="424" w:right="20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terms of the Plan and in accordance with the Board Minutes, the Shareholders Resolutions and the Shareholders Minutes, and appropriate entries are made in the register of members (shareholders) of the Company, the Shares will be validly issued, fully paid and non-assessable.</w:t>
      </w:r>
    </w:p>
    <w:p>
      <w:pPr>
        <w:spacing w:after="0" w:line="176" w:lineRule="exact"/>
        <w:rPr>
          <w:sz w:val="20"/>
          <w:szCs w:val="20"/>
          <w:color w:val="auto"/>
        </w:rPr>
      </w:pPr>
    </w:p>
    <w:p>
      <w:pPr>
        <w:jc w:val="both"/>
        <w:ind w:left="4" w:right="240"/>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color w:val="auto"/>
        </w:rPr>
        <w:t>These opinions are subject to the qualification that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authorises to be inserted therein. A third party interest in the Shares would not appear. An entry in the register of members may yield to a court order for rectification (for example, in the event of fraud or manifest error).</w:t>
      </w:r>
    </w:p>
    <w:p>
      <w:pPr>
        <w:sectPr>
          <w:pgSz w:w="11900" w:h="16838" w:orient="portrait"/>
          <w:cols w:equalWidth="0" w:num="1">
            <w:col w:w="11024"/>
          </w:cols>
          <w:pgMar w:left="436" w:top="117" w:right="439" w:bottom="1440" w:gutter="0" w:footer="0" w:header="0"/>
        </w:sectPr>
      </w:pPr>
    </w:p>
    <w:bookmarkStart w:id="26" w:name="page27"/>
    <w:bookmarkEnd w:id="26"/>
    <w:p>
      <w:pPr>
        <w:ind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Board Minutes are true and correct record of the proceedings of the Board Meetings, which were duly convened and held, and at which a quorum was present throughout, in each case, in the manner prescribed in the memorandum and articles of association of the Company effective at the relevant time. The resolutions set out in the Board Minutes were duly passed in the manner prescribed in the memorandum and articles of association of the Company effective at the relevant time (including, without limitation, with respect to the disclosure of interests (if any) by directors of the Company) and have not been amended, varied or revoked in any respect, (f) the Shareholders Minutes are a true and correct record of the proceedings of the Shareholders Meeting, which was duly convened and held, and at which a quorum was present throughout, in each case, in the manner prescribed in the memorandum and articles of association of the Company effective at the relevant time, and the resolutions set out in the Shareholders Minutes and the Shareholders Resolutions were duly passed in the manner prescribed in the memorandum and articles of association of the Company effective at the relevant time and have not been amended, varied or revoked in any respect, (g) there is nothing under any law (other than the laws of the Cayman Islands) which would or might affect the opinions set out above, (h) there is nothing contained in the minute book or corporate records of the Company (which we have not inspected) which would or might affect the opinions set out above, and (i) upon the issue of any Shares, the Company will receive consideration which shall be equal to at least the par value of such Shares.</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ectPr>
          <w:pgSz w:w="11900" w:h="16838" w:orient="portrait"/>
          <w:cols w:equalWidth="0" w:num="1">
            <w:col w:w="10980"/>
          </w:cols>
          <w:pgMar w:left="440" w:top="270" w:right="4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2020 Restricted Shares Plan of Legend Biotech Corporation of our reports dated March 19, 2024, with respect to the consolidated financial statements of Legend Biotech Corporation and the effectiveness of internal control over financial reporting of Legend Biotech Corporation included in its Annual Report (Form 20-F)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2024</w:t>
      </w:r>
    </w:p>
    <w:p>
      <w:pPr>
        <w:sectPr>
          <w:pgSz w:w="11900" w:h="16838" w:orient="portrait"/>
          <w:cols w:equalWidth="0" w:num="1">
            <w:col w:w="11020"/>
          </w:cols>
          <w:pgMar w:left="440"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2020 Restricted Shares Plan of Legend Biotech Corporation of our report dated March 31, 2022, except for the effects on the consolidated financial statements of the correction of an error, as to which the date is February 17, 2023, with respect to the consolidated financial statements of Legend Biotech Corporation included in its Annual Report (Form 20-F) for the year ended December 31, 2023, filed with the Securities and Exchange Commission on March 19,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2024</w:t>
      </w:r>
    </w:p>
    <w:p>
      <w:pPr>
        <w:sectPr>
          <w:pgSz w:w="11900" w:h="16838" w:orient="portrait"/>
          <w:cols w:equalWidth="0" w:num="1">
            <w:col w:w="11020"/>
          </w:cols>
          <w:pgMar w:left="440" w:top="117"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32"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1980" w:type="dxa"/>
            <w:vAlign w:val="bottom"/>
            <w:tcBorders>
              <w:top w:val="single" w:sz="8" w:color="auto"/>
              <w:left w:val="single" w:sz="8" w:color="auto"/>
              <w:right w:val="single" w:sz="8" w:color="auto"/>
            </w:tcBorders>
          </w:tcPr>
          <w:p>
            <w:pPr>
              <w:spacing w:after="0"/>
              <w:rPr>
                <w:sz w:val="11"/>
                <w:szCs w:val="11"/>
                <w:color w:val="auto"/>
              </w:rPr>
            </w:pPr>
          </w:p>
        </w:tc>
        <w:tc>
          <w:tcPr>
            <w:tcW w:w="1740" w:type="dxa"/>
            <w:vAlign w:val="bottom"/>
            <w:tcBorders>
              <w:top w:val="single" w:sz="8" w:color="auto"/>
              <w:right w:val="single" w:sz="8" w:color="auto"/>
            </w:tcBorders>
          </w:tcPr>
          <w:p>
            <w:pPr>
              <w:spacing w:after="0"/>
              <w:rPr>
                <w:sz w:val="11"/>
                <w:szCs w:val="11"/>
                <w:color w:val="auto"/>
              </w:rPr>
            </w:pPr>
          </w:p>
        </w:tc>
        <w:tc>
          <w:tcPr>
            <w:tcW w:w="174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34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 Rule</w:t>
            </w:r>
          </w:p>
        </w:tc>
        <w:tc>
          <w:tcPr>
            <w:tcW w:w="12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9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740" w:type="dxa"/>
            <w:vAlign w:val="bottom"/>
            <w:tcBorders>
              <w:bottom w:val="single" w:sz="8" w:color="auto"/>
              <w:right w:val="single" w:sz="8" w:color="auto"/>
            </w:tcBorders>
            <w:vMerge w:val="continue"/>
          </w:tcPr>
          <w:p>
            <w:pPr>
              <w:spacing w:after="0"/>
              <w:rPr>
                <w:sz w:val="15"/>
                <w:szCs w:val="15"/>
                <w:color w:val="auto"/>
              </w:rPr>
            </w:pPr>
          </w:p>
        </w:tc>
        <w:tc>
          <w:tcPr>
            <w:tcW w:w="1740" w:type="dxa"/>
            <w:vAlign w:val="bottom"/>
            <w:tcBorders>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jc w:val="center"/>
              <w:ind w:left="53"/>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w:t>
            </w: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Rule 457(c) and Rule</w:t>
            </w: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 xml:space="preserve">15,000,000 </w:t>
            </w:r>
            <w:r>
              <w:rPr>
                <w:rFonts w:ascii="Times New Roman" w:cs="Times New Roman" w:eastAsia="Times New Roman" w:hAnsi="Times New Roman"/>
                <w:sz w:val="22"/>
                <w:szCs w:val="22"/>
                <w:color w:val="auto"/>
                <w:w w:val="93"/>
                <w:vertAlign w:val="superscript"/>
              </w:rPr>
              <w:t>(2)</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$19.91</w:t>
            </w:r>
            <w:r>
              <w:rPr>
                <w:rFonts w:ascii="Times New Roman" w:cs="Times New Roman" w:eastAsia="Times New Roman" w:hAnsi="Times New Roman"/>
                <w:sz w:val="22"/>
                <w:szCs w:val="22"/>
                <w:color w:val="auto"/>
                <w:w w:val="93"/>
                <w:vertAlign w:val="superscript"/>
              </w:rPr>
              <w:t>(3)</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$298,650,000</w:t>
            </w:r>
            <w:r>
              <w:rPr>
                <w:rFonts w:ascii="Times New Roman" w:cs="Times New Roman" w:eastAsia="Times New Roman" w:hAnsi="Times New Roman"/>
                <w:sz w:val="22"/>
                <w:szCs w:val="22"/>
                <w:color w:val="auto"/>
                <w:vertAlign w:val="superscript"/>
              </w:rPr>
              <w:t>(3)</w:t>
            </w:r>
          </w:p>
        </w:tc>
        <w:tc>
          <w:tcPr>
            <w:tcW w:w="10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$0.0001531</w:t>
            </w:r>
          </w:p>
        </w:tc>
        <w:tc>
          <w:tcPr>
            <w:tcW w:w="1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$45,723.32</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US$0.0001 per</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8"/>
                <w:szCs w:val="18"/>
                <w:color w:val="auto"/>
                <w:w w:val="94"/>
              </w:rPr>
              <w:t>share</w:t>
            </w:r>
            <w:r>
              <w:rPr>
                <w:rFonts w:ascii="Times New Roman" w:cs="Times New Roman" w:eastAsia="Times New Roman" w:hAnsi="Times New Roman"/>
                <w:sz w:val="22"/>
                <w:szCs w:val="22"/>
                <w:color w:val="auto"/>
                <w:w w:val="94"/>
                <w:vertAlign w:val="superscript"/>
              </w:rPr>
              <w:t>(1)</w:t>
            </w:r>
          </w:p>
        </w:tc>
        <w:tc>
          <w:tcPr>
            <w:tcW w:w="1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right w:val="single" w:sz="8" w:color="auto"/>
            </w:tcBorders>
          </w:tcPr>
          <w:p>
            <w:pPr>
              <w:jc w:val="center"/>
              <w:ind w:left="33"/>
              <w:spacing w:after="0" w:line="188" w:lineRule="exact"/>
              <w:rPr>
                <w:sz w:val="20"/>
                <w:szCs w:val="20"/>
                <w:color w:val="auto"/>
              </w:rPr>
            </w:pPr>
            <w:r>
              <w:rPr>
                <w:rFonts w:ascii="Times New Roman" w:cs="Times New Roman" w:eastAsia="Times New Roman" w:hAnsi="Times New Roman"/>
                <w:sz w:val="18"/>
                <w:szCs w:val="18"/>
                <w:b w:val="1"/>
                <w:bCs w:val="1"/>
                <w:color w:val="auto"/>
                <w:w w:val="98"/>
              </w:rPr>
              <w:t>Total Offering</w:t>
            </w:r>
          </w:p>
        </w:tc>
        <w:tc>
          <w:tcPr>
            <w:tcW w:w="174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right"/>
              <w:ind w:right="61"/>
              <w:spacing w:after="0" w:line="188" w:lineRule="exact"/>
              <w:rPr>
                <w:sz w:val="20"/>
                <w:szCs w:val="20"/>
                <w:color w:val="auto"/>
              </w:rPr>
            </w:pPr>
            <w:r>
              <w:rPr>
                <w:rFonts w:ascii="Times New Roman" w:cs="Times New Roman" w:eastAsia="Times New Roman" w:hAnsi="Times New Roman"/>
                <w:sz w:val="18"/>
                <w:szCs w:val="18"/>
                <w:color w:val="auto"/>
              </w:rPr>
              <w:t>$298,650,000</w:t>
            </w: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$45,723.32</w:t>
            </w:r>
          </w:p>
        </w:tc>
        <w:tc>
          <w:tcPr>
            <w:tcW w:w="0" w:type="dxa"/>
            <w:vAlign w:val="bottom"/>
          </w:tcPr>
          <w:p>
            <w:pPr>
              <w:spacing w:after="0"/>
              <w:rPr>
                <w:sz w:val="1"/>
                <w:szCs w:val="1"/>
                <w:color w:val="auto"/>
              </w:rPr>
            </w:pPr>
          </w:p>
        </w:tc>
      </w:tr>
      <w:tr>
        <w:trPr>
          <w:trHeight w:val="238"/>
        </w:trPr>
        <w:tc>
          <w:tcPr>
            <w:tcW w:w="198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7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7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7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$45,723.32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34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may be represented by the American Depositary Shares (“ADSs”) of Legend Biotech Corporation (the “Registrant”). Each ADS represents two Ordinary Shares. ADSs issuable upon deposit of the Ordinary Shares registered hereby were registered pursuant to the separate Registration Statement on Form F-6 (File No. 333-238581).</w:t>
      </w:r>
    </w:p>
    <w:p>
      <w:pPr>
        <w:spacing w:after="0" w:line="81" w:lineRule="exact"/>
        <w:rPr>
          <w:rFonts w:ascii="Times New Roman" w:cs="Times New Roman" w:eastAsia="Times New Roman" w:hAnsi="Times New Roman"/>
          <w:sz w:val="18"/>
          <w:szCs w:val="18"/>
          <w:color w:val="auto"/>
        </w:rPr>
      </w:pPr>
    </w:p>
    <w:p>
      <w:pPr>
        <w:ind w:left="424" w:right="60" w:hanging="424"/>
        <w:spacing w:after="0" w:line="277" w:lineRule="auto"/>
        <w:tabs>
          <w:tab w:leader="none" w:pos="42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ordinary shares, par value US$0.0001 per share (the “Ordinary Shares”), of the Registrant that became available for issuance under the Amended and Restated 2020 Restricted Shares Plan (the “RSU Plan”), effective as of October 21, 2024. Pursuant to Rule 416 under the Securities Act of 1933, as amended (the “Securities Act”), this Registration Statement shall also cover any additional Ordinary Shares of the Registrant which become issuable under the RSU Plan by reason of any stock dividend, stock split, recapitalization or any other similar transaction effected without the receipt of consideration which results in an increase in the number of the Registrant’s outstanding Ordinary Shares.</w:t>
      </w:r>
    </w:p>
    <w:p>
      <w:pPr>
        <w:spacing w:after="0" w:line="73" w:lineRule="exact"/>
        <w:rPr>
          <w:rFonts w:ascii="Times New Roman" w:cs="Times New Roman" w:eastAsia="Times New Roman" w:hAnsi="Times New Roman"/>
          <w:sz w:val="17"/>
          <w:szCs w:val="17"/>
          <w:color w:val="auto"/>
        </w:rPr>
      </w:pPr>
    </w:p>
    <w:p>
      <w:pPr>
        <w:ind w:left="424" w:right="44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registration fee pursuant to Rules 457(c) and (h) under the Securities Act, based upon the average of the high and low prices of the Registrant’s ADSs as quoted on the Nasdaq Global Select Market on November 8,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DED7263"/>
    <w:multiLevelType w:val="hybridMultilevel"/>
    <w:lvl w:ilvl="0">
      <w:lvlJc w:val="left"/>
      <w:lvlText w:val="%1"/>
      <w:numFmt w:val="lowerLetter"/>
      <w:start w:val="1"/>
    </w:lvl>
    <w:lvl w:ilvl="1">
      <w:lvlJc w:val="left"/>
      <w:lvlText w:val="(%2)"/>
      <w:numFmt w:val="decimal"/>
      <w:start w:val="2"/>
    </w:lvl>
  </w:abstractNum>
  <w:abstractNum w:abstractNumId="3">
    <w:nsid w:val="7FDCC233"/>
    <w:multiLevelType w:val="hybridMultilevel"/>
    <w:lvl w:ilvl="0">
      <w:lvlJc w:val="left"/>
      <w:lvlText w:val="(%1)"/>
      <w:numFmt w:val="lowerLetter"/>
      <w:start w:val="2"/>
    </w:lvl>
    <w:lvl w:ilvl="1">
      <w:lvlJc w:val="left"/>
      <w:lvlText w:val="%2"/>
      <w:numFmt w:val="decimal"/>
      <w:start w:val="1"/>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3"/>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7"/>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3"/>
    </w:lvl>
    <w:lvl w:ilvl="1">
      <w:lvlJc w:val="left"/>
      <w:lvlText w:val="(%2)"/>
      <w:numFmt w:val="lowerLetter"/>
      <w:start w:val="1"/>
    </w:lvl>
  </w:abstractNum>
  <w:abstractNum w:abstractNumId="17">
    <w:nsid w:val="333AB10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
    <w:nsid w:val="721DA31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9">
    <w:nsid w:val="2443A858"/>
    <w:multiLevelType w:val="hybridMultilevel"/>
    <w:lvl w:ilvl="0">
      <w:lvlJc w:val="left"/>
      <w:lvlText w:val="%1."/>
      <w:numFmt w:val="decimal"/>
      <w:start w:val="4"/>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20" Type="http://schemas.openxmlformats.org/officeDocument/2006/relationships/hyperlink" Target="http://www.sec.gov/Archives/edgar/data/1801198/000119312520240097/d35608ds8pos.htm" TargetMode="External"/><Relationship Id="rId21" Type="http://schemas.openxmlformats.org/officeDocument/2006/relationships/hyperlink" Target="http://www.sec.gov/ix?doc=/Archives/edgar/data/1801198/000180119824000021/legn-20231231.htm" TargetMode="External"/><Relationship Id="rId22" Type="http://schemas.openxmlformats.org/officeDocument/2006/relationships/hyperlink" Target="http://www.sec.gov/ix?doc=/Archives/edgar/data/1801198/000180119824000033/legn-20240331.htm" TargetMode="External"/><Relationship Id="rId23" Type="http://schemas.openxmlformats.org/officeDocument/2006/relationships/hyperlink" Target="http://www.sec.gov/Archives/edgar/data/1801198/000117184324003086/f6k_052324.htm" TargetMode="External"/><Relationship Id="rId24" Type="http://schemas.openxmlformats.org/officeDocument/2006/relationships/hyperlink" Target="http://www.sec.gov/Archives/edgar/data/1801198/000117184324003239/f6k_060324.htm" TargetMode="External"/><Relationship Id="rId25" Type="http://schemas.openxmlformats.org/officeDocument/2006/relationships/hyperlink" Target="http://www.sec.gov/Archives/edgar/data/1801198/000117184324003760/f6k_070224.htm" TargetMode="External"/><Relationship Id="rId26" Type="http://schemas.openxmlformats.org/officeDocument/2006/relationships/hyperlink" Target="http://www.sec.gov/Archives/edgar/data/1801198/000117184324003984/f6k_071724.htm" TargetMode="External"/><Relationship Id="rId27" Type="http://schemas.openxmlformats.org/officeDocument/2006/relationships/hyperlink" Target="http://www.sec.gov/Archives/edgar/data/1801198/000117184324004161/f6k_072624.htm" TargetMode="External"/><Relationship Id="rId28" Type="http://schemas.openxmlformats.org/officeDocument/2006/relationships/hyperlink" Target="http://www.sec.gov/Archives/edgar/data/1801198/000117184324004605/f6k_080824.htm" TargetMode="External"/><Relationship Id="rId29" Type="http://schemas.openxmlformats.org/officeDocument/2006/relationships/hyperlink" Target="http://www.sec.gov/ix?doc=/Archives/edgar/data/1801198/000180119824000038/legn-20240630.htm" TargetMode="External"/><Relationship Id="rId30" Type="http://schemas.openxmlformats.org/officeDocument/2006/relationships/hyperlink" Target="http://www.sec.gov/Archives/edgar/data/1801198/000117184324004939/f6k_082724.htm" TargetMode="External"/><Relationship Id="rId31" Type="http://schemas.openxmlformats.org/officeDocument/2006/relationships/hyperlink" Target="http://www.sec.gov/ix?doc=/Archives/edgar/data/1801198/000180119824000043/legn-20240930.htm" TargetMode="External"/><Relationship Id="rId32" Type="http://schemas.openxmlformats.org/officeDocument/2006/relationships/hyperlink" Target="http://www.sec.gov/Archives/edgar/data/1801198/000119312520158448/d904346d8a12b.htm" TargetMode="External"/><Relationship Id="rId34" Type="http://schemas.openxmlformats.org/officeDocument/2006/relationships/hyperlink" Target="http://www.sec.gov/Archives/edgar/data/1801198/000119312520155054/d884493dex32.htm" TargetMode="External"/><Relationship Id="rId35" Type="http://schemas.openxmlformats.org/officeDocument/2006/relationships/hyperlink" Target="http://www.sec.gov/Archives/edgar/data/1801198/000119312520141663/d884493dex41.htm" TargetMode="External"/><Relationship Id="rId36" Type="http://schemas.openxmlformats.org/officeDocument/2006/relationships/hyperlink" Target="http://www.sec.gov/Archives/edgar/data/1801198/000119312520155054/d88449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2024-11-14T07:49:05Z</dcterms:created>
  <dcterms:modified xsi:type="dcterms:W3CDTF">2024-11-14T07:49:05Z</dcterms:modified>
</cp:coreProperties>
</file>