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260"/>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Sanders Corazon (Corsee)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80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Legend Biotech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LEGN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LEGEND BIOTECH CORP</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2101 COTTONTAIL LANE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SOMERSET NJ</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08873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59,115</w:t>
            </w:r>
            <w:r>
              <w:rPr>
                <w:rFonts w:ascii="Times New Roman" w:cs="Times New Roman" w:eastAsia="Times New Roman" w:hAnsi="Times New Roman"/>
                <w:sz w:val="25"/>
                <w:szCs w:val="25"/>
                <w:color w:val="008000"/>
                <w:vertAlign w:val="superscript"/>
              </w:rPr>
              <w:t>(2)</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06/05/2030</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12,000</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11.5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of the Issuer may be represented by American Depositary Shares ("ADSs"). Each ADS represents two ordinary shares of the Issuer.</w:t>
      </w:r>
    </w:p>
    <w:p>
      <w:pPr>
        <w:spacing w:after="0" w:line="52" w:lineRule="exact"/>
        <w:rPr>
          <w:rFonts w:ascii="Times New Roman" w:cs="Times New Roman" w:eastAsia="Times New Roman" w:hAnsi="Times New Roman"/>
          <w:sz w:val="15"/>
          <w:szCs w:val="15"/>
          <w:color w:val="008000"/>
        </w:rPr>
      </w:pPr>
    </w:p>
    <w:p>
      <w:pPr>
        <w:ind w:left="40" w:right="10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25,674 restricted share units (the "RSUs"). Each RSU represents a contingent right to receive one ordinary share of the Issuer upon settlement. 7,136 RSUs have settled, with the remainder vesting (i) as to 2,100 RSUs, in 3 equal quarterly installments beginning on March 20, 2026, (ii) as to 5,888 RSUs, in 7 equal quarterly installments beginning on March 20, 2026, and (iii) as to 10,550 RSUs, with 25% of the shares vesting on June 20, 2026 with the remainder vesting 7 equal quarterly installments thereafter, subject to the Reporting Person's continued service to the Issuer on each such vesting date.</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of the shares subject to the option are immediately exercisable.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James Pepin,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Pepin and Robert Staloff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Legend Biotech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23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(1)        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18, 2026</w:t>
      </w:r>
    </w:p>
    <w:p>
      <w:pPr>
        <w:spacing w:after="0" w:line="3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tab/>
        <w:t>/s/ Corazon D. Sanders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Name:Corazon D.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96536" TargetMode="External"/><Relationship Id="rId11" Type="http://schemas.openxmlformats.org/officeDocument/2006/relationships/hyperlink" Target="http://www.sec.gov/cgi-bin/browse-edgar?action=getcompany&amp;CIK=0001801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2026-03-18T17:52:44Z</dcterms:created>
  <dcterms:modified xsi:type="dcterms:W3CDTF">2026-03-18T17:52:44Z</dcterms:modified>
</cp:coreProperties>
</file>